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Fisher Adam Ralph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8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Fiverr International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FVRR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1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2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C/O FIVERR INTERNATIONAL LTD</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 ELIEZER KAPLAN STREET</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TEL AVIV  L3</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6473409</w:t>
            </w:r>
          </w:p>
        </w:tc>
      </w:tr>
    </w:tbl>
    <w:p>
      <w:pPr>
        <w:spacing w:after="0" w:line="3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4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04/17/2026</w:t>
      </w:r>
    </w:p>
    <w:p>
      <w:pPr>
        <w:spacing w:after="0" w:line="36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563"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65,704</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gridSpan w:val="2"/>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jc w:val="right"/>
              <w:ind w:right="517"/>
              <w:spacing w:after="0"/>
              <w:rPr>
                <w:sz w:val="20"/>
                <w:szCs w:val="20"/>
                <w:color w:val="auto"/>
              </w:rPr>
            </w:pPr>
            <w:r>
              <w:rPr>
                <w:rFonts w:ascii="Times New Roman" w:cs="Times New Roman" w:eastAsia="Times New Roman" w:hAnsi="Times New Roman"/>
                <w:sz w:val="20"/>
                <w:szCs w:val="20"/>
                <w:color w:val="0000FF"/>
              </w:rPr>
              <w:t>0</w:t>
            </w:r>
          </w:p>
        </w:tc>
        <w:tc>
          <w:tcPr>
            <w:tcW w:w="1080" w:type="dxa"/>
            <w:vAlign w:val="bottom"/>
            <w:tcBorders>
              <w:bottom w:val="single" w:sz="8" w:color="2C2C2C"/>
            </w:tcBorders>
            <w:gridSpan w:val="2"/>
          </w:tcPr>
          <w:p>
            <w:pPr>
              <w:ind w:left="960"/>
              <w:spacing w:after="0"/>
              <w:rPr>
                <w:sz w:val="20"/>
                <w:szCs w:val="20"/>
                <w:color w:val="auto"/>
              </w:rPr>
            </w:pPr>
            <w:r>
              <w:rPr>
                <w:rFonts w:ascii="Times New Roman" w:cs="Times New Roman" w:eastAsia="Times New Roman" w:hAnsi="Times New Roman"/>
                <w:sz w:val="20"/>
                <w:szCs w:val="20"/>
                <w:color w:val="0000FF"/>
              </w:rPr>
              <w:t>I</w:t>
            </w:r>
          </w:p>
        </w:tc>
        <w:tc>
          <w:tcPr>
            <w:tcW w:w="19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20"/>
                <w:szCs w:val="20"/>
                <w:color w:val="0000FF"/>
                <w:w w:val="91"/>
              </w:rPr>
              <w:t>See Footnote</w:t>
            </w:r>
            <w:r>
              <w:rPr>
                <w:rFonts w:ascii="Times New Roman" w:cs="Times New Roman" w:eastAsia="Times New Roman" w:hAnsi="Times New Roman"/>
                <w:sz w:val="25"/>
                <w:szCs w:val="25"/>
                <w:color w:val="008000"/>
                <w:w w:val="91"/>
                <w:vertAlign w:val="superscript"/>
              </w:rPr>
              <w:t>(1)(2)</w:t>
            </w:r>
          </w:p>
        </w:tc>
        <w:tc>
          <w:tcPr>
            <w:tcW w:w="1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00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0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4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As of the date hereof, Bessemer Venture Partners VII Institutional L.P. ("BVP VII Inst"), Bessemer Venture Partners VII L.P. ("BVP VII"), and BVP VII Special Opportunity Fund L.P. ("BVP VII SO" and together with BVP VII Inst and BVP VII the "Funds") own 78,600 ordinary shares, 179,652 ordinary shares, and 303,174 ordinary shares, respectively.</w:t>
      </w:r>
    </w:p>
    <w:p>
      <w:pPr>
        <w:spacing w:after="0" w:line="29" w:lineRule="exact"/>
        <w:rPr>
          <w:rFonts w:ascii="Times New Roman" w:cs="Times New Roman" w:eastAsia="Times New Roman" w:hAnsi="Times New Roman"/>
          <w:sz w:val="15"/>
          <w:szCs w:val="15"/>
          <w:color w:val="008000"/>
        </w:rPr>
      </w:pPr>
    </w:p>
    <w:p>
      <w:pPr>
        <w:ind w:left="40" w:right="8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a partner at Bessemer Venture Partners and has an indirect, passive economic interest in the shares held by the Funds by virtue of his interest in Deer VII &amp; Co. Ltd ("Deer Ltd."), which is the general partner of Deer VII &amp; Co. L.P. ("Deer LP"), which is the general partner of each of the Funds. The Reporting Person disclaims beneficial ownership of the securities held by the Funds, except to the extent of his pecuniary interest, if any, in such securities by virtue of his interest in the Funds. This report shall not be deemed an admission that the Reporting Person is the beneficial owner of such securities.</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Augie Wilkinson,</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32" w:lineRule="exact"/>
        <w:rPr>
          <w:sz w:val="20"/>
          <w:szCs w:val="20"/>
          <w:color w:val="auto"/>
        </w:rPr>
      </w:pPr>
    </w:p>
    <w:p>
      <w:pPr>
        <w:ind w:firstLine="685"/>
        <w:spacing w:after="0" w:line="269"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Fiverr International LTD.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the undersigned hereby constitutes and appoints each of Augie Wilkinson or Lindsay McNeil or any of them signing singly, with full power of substitution and resubstitution, to act as the undersigned’s true and lawful attorney-in-fact to:</w:t>
      </w:r>
    </w:p>
    <w:p>
      <w:pPr>
        <w:spacing w:after="0" w:line="223" w:lineRule="exact"/>
        <w:rPr>
          <w:sz w:val="20"/>
          <w:szCs w:val="20"/>
          <w:color w:val="auto"/>
        </w:rPr>
      </w:pPr>
    </w:p>
    <w:p>
      <w:pPr>
        <w:ind w:left="1460" w:right="60" w:hanging="687"/>
        <w:spacing w:after="0" w:line="266" w:lineRule="auto"/>
        <w:tabs>
          <w:tab w:leader="none" w:pos="14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and Forms 3, 4, and 5 in accordance with Section 16 of the Exchange Act and the rules thereunder;</w:t>
      </w:r>
    </w:p>
    <w:p>
      <w:pPr>
        <w:spacing w:after="0" w:line="225" w:lineRule="exact"/>
        <w:rPr>
          <w:rFonts w:ascii="Times New Roman" w:cs="Times New Roman" w:eastAsia="Times New Roman" w:hAnsi="Times New Roman"/>
          <w:sz w:val="20"/>
          <w:szCs w:val="20"/>
          <w:color w:val="auto"/>
        </w:rPr>
      </w:pPr>
    </w:p>
    <w:p>
      <w:pPr>
        <w:jc w:val="both"/>
        <w:ind w:left="1460" w:right="20" w:hanging="687"/>
        <w:spacing w:after="0" w:line="266" w:lineRule="auto"/>
        <w:tabs>
          <w:tab w:leader="none" w:pos="14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225" w:lineRule="exact"/>
        <w:rPr>
          <w:rFonts w:ascii="Times New Roman" w:cs="Times New Roman" w:eastAsia="Times New Roman" w:hAnsi="Times New Roman"/>
          <w:sz w:val="20"/>
          <w:szCs w:val="20"/>
          <w:color w:val="auto"/>
        </w:rPr>
      </w:pPr>
    </w:p>
    <w:p>
      <w:pPr>
        <w:ind w:left="1460" w:right="20" w:hanging="687"/>
        <w:spacing w:after="0" w:line="258" w:lineRule="auto"/>
        <w:tabs>
          <w:tab w:leader="none" w:pos="14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140" w:firstLine="685"/>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5" w:lineRule="exact"/>
        <w:rPr>
          <w:sz w:val="20"/>
          <w:szCs w:val="20"/>
          <w:color w:val="auto"/>
        </w:rPr>
      </w:pPr>
    </w:p>
    <w:p>
      <w:pPr>
        <w:ind w:right="200" w:firstLine="685"/>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26" w:lineRule="exact"/>
        <w:rPr>
          <w:sz w:val="20"/>
          <w:szCs w:val="20"/>
          <w:color w:val="auto"/>
        </w:rPr>
      </w:pPr>
    </w:p>
    <w:p>
      <w:pPr>
        <w:jc w:val="both"/>
        <w:ind w:firstLine="685"/>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2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April, 2026</w:t>
      </w:r>
    </w:p>
    <w:p>
      <w:pPr>
        <w:spacing w:after="0" w:line="200" w:lineRule="exact"/>
        <w:rPr>
          <w:sz w:val="20"/>
          <w:szCs w:val="20"/>
          <w:color w:val="auto"/>
        </w:rPr>
      </w:pPr>
    </w:p>
    <w:p>
      <w:pPr>
        <w:spacing w:after="0" w:line="29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/s/ Adam Fisher</w:t>
      </w:r>
    </w:p>
    <w:p>
      <w:pPr>
        <w:spacing w:after="0" w:line="4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Adam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692785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-142240</wp:posOffset>
            </wp:positionV>
            <wp:extent cx="173418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734185" cy="9525"/>
                    </a:xfrm>
                    <a:prstGeom prst="rect">
                      <a:avLst/>
                    </a:prstGeom>
                    <a:noFill/>
                  </pic:spPr>
                </pic:pic>
              </a:graphicData>
            </a:graphic>
          </wp:anchor>
        </w:drawing>
      </w:r>
    </w:p>
    <w:sectPr>
      <w:pgSz w:w="11900" w:h="16838" w:orient="portrait"/>
      <w:cols w:equalWidth="0" w:num="1">
        <w:col w:w="10940"/>
      </w:cols>
      <w:pgMar w:left="480" w:top="83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28553" TargetMode="External"/><Relationship Id="rId11" Type="http://schemas.openxmlformats.org/officeDocument/2006/relationships/hyperlink" Target="http://www.sec.gov/cgi-bin/browse-edgar?action=getcompany&amp;CIK=00017623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2026-06-08T16:40:03Z</dcterms:created>
  <dcterms:modified xsi:type="dcterms:W3CDTF">2026-06-08T16:40:03Z</dcterms:modified>
</cp:coreProperties>
</file>