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982.xml.htm"/>
      <w:bookmarkStart w:id="1" w:name="kszk26359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Zohar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ELIEZER KAPLAN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6473409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Fiverr International Ltd.</w:t>
              </w:r>
            </w:hyperlink>
            <w:r>
              <w:rPr/>
              <w:t xml:space="preserve"> [ </w:t>
            </w:r>
            <w:r>
              <w:rPr>
                <w:rFonts w:ascii="Times;serif" w:hAnsi="Times;serif"/>
                <w:color w:val="0000FF"/>
                <w:sz w:val="24"/>
                <w:shd w:fill="FFFFFF" w:val="clear"/>
              </w:rPr>
              <w:t>FVRR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3"/>
        <w:gridCol w:w="906"/>
        <w:gridCol w:w="774"/>
        <w:gridCol w:w="602"/>
        <w:gridCol w:w="353"/>
        <w:gridCol w:w="861"/>
        <w:gridCol w:w="467"/>
        <w:gridCol w:w="639"/>
        <w:gridCol w:w="1184"/>
        <w:gridCol w:w="1014"/>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4,982</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w:t>
            </w:r>
            <w:r>
              <w:rPr>
                <w:rFonts w:ascii="Times;serif" w:hAnsi="Times;serif"/>
                <w:color w:val="008000"/>
                <w:position w:val="7"/>
                <w:sz w:val="16"/>
                <w:sz w:val="20"/>
                <w:shd w:fill="FFFFFF" w:val="clear"/>
              </w:rPr>
              <w:t>(2)</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86,950</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plan adopted by the reporting person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transactions at prices ranging from $8.73 to $9.00, inclusive. The Reporting Person undertakes to provide to Fiverr, any security holder of Fiverr,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Yair Shalmoni, as Attorney-in-Fact, for Nir Zohar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5805" TargetMode="External"/><Relationship Id="rId5" Type="http://schemas.openxmlformats.org/officeDocument/2006/relationships/hyperlink" Target="http://www.sec.gov/cgi-bin/browse-edgar?action=getcompany&amp;CIK=00017623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3550</Characters>
  <CharactersWithSpaces>4143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