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899"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Fisher Adam Ralph</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Fiverr International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FVRR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5"/>
                <w:szCs w:val="5"/>
                <w:color w:val="auto"/>
              </w:rPr>
            </w:pP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4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Borders>
              <w:top w:val="single" w:sz="8" w:color="2C2C2C"/>
            </w:tcBorders>
          </w:tcPr>
          <w:p>
            <w:pPr>
              <w:spacing w:after="0"/>
              <w:rPr>
                <w:sz w:val="2"/>
                <w:szCs w:val="2"/>
                <w:color w:val="auto"/>
              </w:rPr>
            </w:pPr>
          </w:p>
        </w:tc>
        <w:tc>
          <w:tcPr>
            <w:tcW w:w="34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gridSpan w:val="7"/>
            <w:vMerge w:val="continue"/>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320"/>
              <w:spacing w:after="0" w:line="132" w:lineRule="exact"/>
              <w:rPr>
                <w:sz w:val="20"/>
                <w:szCs w:val="20"/>
                <w:color w:val="auto"/>
              </w:rPr>
            </w:pPr>
            <w:r>
              <w:rPr>
                <w:rFonts w:ascii="Arial" w:cs="Arial" w:eastAsia="Arial" w:hAnsi="Arial"/>
                <w:sz w:val="13"/>
                <w:szCs w:val="13"/>
                <w:color w:val="auto"/>
              </w:rPr>
              <w:t>below)</w:t>
            </w:r>
          </w:p>
        </w:tc>
        <w:tc>
          <w:tcPr>
            <w:tcW w:w="300" w:type="dxa"/>
            <w:vAlign w:val="bottom"/>
          </w:tcPr>
          <w:p>
            <w:pPr>
              <w:spacing w:after="0"/>
              <w:rPr>
                <w:sz w:val="11"/>
                <w:szCs w:val="11"/>
                <w:color w:val="auto"/>
              </w:rPr>
            </w:pPr>
          </w:p>
        </w:tc>
        <w:tc>
          <w:tcPr>
            <w:tcW w:w="920" w:type="dxa"/>
            <w:vAlign w:val="bottom"/>
            <w:gridSpan w:val="2"/>
          </w:tcPr>
          <w:p>
            <w:pPr>
              <w:ind w:left="400"/>
              <w:spacing w:after="0" w:line="132"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5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FIVERR INTERNATIONAL LTD</w:t>
            </w:r>
          </w:p>
        </w:tc>
        <w:tc>
          <w:tcPr>
            <w:tcW w:w="152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8 ELIEZER KAPLAN STREET</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8"/>
            <w:vMerge w:val="continue"/>
          </w:tcPr>
          <w:p>
            <w:pPr>
              <w:spacing w:after="0"/>
              <w:rPr>
                <w:sz w:val="6"/>
                <w:szCs w:val="6"/>
                <w:color w:val="auto"/>
              </w:rPr>
            </w:pPr>
          </w:p>
        </w:tc>
        <w:tc>
          <w:tcPr>
            <w:tcW w:w="34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5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0" w:type="dxa"/>
            <w:vAlign w:val="bottom"/>
            <w:vMerge w:val="restart"/>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520" w:type="dxa"/>
            <w:vAlign w:val="bottom"/>
            <w:gridSpan w:val="6"/>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TEL AVIV</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L3</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6473409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320" w:type="dxa"/>
            <w:vAlign w:val="bottom"/>
            <w:tcBorders>
              <w:top w:val="single" w:sz="8" w:color="2C2C2C"/>
            </w:tcBorders>
            <w:gridSpan w:val="18"/>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gridSpan w:val="5"/>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65,704</w:t>
            </w:r>
          </w:p>
        </w:tc>
        <w:tc>
          <w:tcPr>
            <w:tcW w:w="30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60" w:type="dxa"/>
            <w:vAlign w:val="bottom"/>
            <w:gridSpan w:val="5"/>
            <w:vMerge w:val="restart"/>
          </w:tcPr>
          <w:p>
            <w:pPr>
              <w:ind w:left="78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680" w:type="dxa"/>
            <w:vAlign w:val="bottom"/>
            <w:vMerge w:val="restart"/>
          </w:tcPr>
          <w:p>
            <w:pPr>
              <w:jc w:val="center"/>
              <w:ind w:left="374"/>
              <w:spacing w:after="0"/>
              <w:rPr>
                <w:sz w:val="20"/>
                <w:szCs w:val="20"/>
                <w:color w:val="auto"/>
              </w:rPr>
            </w:pPr>
            <w:r>
              <w:rPr>
                <w:rFonts w:ascii="Times New Roman" w:cs="Times New Roman" w:eastAsia="Times New Roman" w:hAnsi="Times New Roman"/>
                <w:sz w:val="17"/>
                <w:szCs w:val="17"/>
                <w:color w:val="0000FF"/>
                <w:w w:val="93"/>
              </w:rPr>
              <w:t>0</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gridSpan w:val="5"/>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760" w:type="dxa"/>
            <w:vAlign w:val="bottom"/>
            <w:tcBorders>
              <w:top w:val="single" w:sz="8" w:color="2C2C2C"/>
            </w:tcBorders>
            <w:gridSpan w:val="5"/>
            <w:vMerge w:val="restart"/>
          </w:tcPr>
          <w:p>
            <w:pPr>
              <w:ind w:left="78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46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top w:val="single" w:sz="8" w:color="2C2C2C"/>
            </w:tcBorders>
            <w:gridSpan w:val="2"/>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vMerge w:val="restart"/>
          </w:tcPr>
          <w:p>
            <w:pPr>
              <w:jc w:val="center"/>
              <w:ind w:left="374"/>
              <w:spacing w:after="0"/>
              <w:rPr>
                <w:sz w:val="20"/>
                <w:szCs w:val="20"/>
                <w:color w:val="auto"/>
              </w:rPr>
            </w:pPr>
            <w:r>
              <w:rPr>
                <w:rFonts w:ascii="Times New Roman" w:cs="Times New Roman" w:eastAsia="Times New Roman" w:hAnsi="Times New Roman"/>
                <w:sz w:val="17"/>
                <w:szCs w:val="17"/>
                <w:color w:val="0000FF"/>
                <w:w w:val="93"/>
              </w:rPr>
              <w:t>0</w:t>
            </w: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gridSpan w:val="5"/>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70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 2026, Bessemer Venture Partners VII Institutional L.P. ("BVP VII Inst"), Bessemer Venture Partners VII L.P. ("BVP VII"), and BVP VII Special Opportunity Fund L.P. ("BVP VII SOF") (together with BVP VII Inst and BVP VIII, the "Bessemer Funds") sold 5,264, 12,030 and 20,302 shares of Class A Common Stock of the Issuer, respectively, at a weighted average price of $10.72. These shares were sold in multiple transactions at prices ranging from $10.59 to $11.28.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4"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 2026, BVP VII Inst, BVP VII and BVP VII SOF sold 6,005, 13,724 and 23,161 shares of Class A Common Stock of the Issuer, respectively, at a weighted average price of $10.10. These shares were sold in multiple transactions at prices ranging from $10.00 to $10.19.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3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partner at Bessemer Venture Partners and has an indirect, passive economic interest in the shares held by the Bessemer Funds by virtue of his interest in (1) Deer VII &amp; Co. L.P., the general partner of the Bessemer Funds and (2) certain other indirect limited partnership interests in certain of the Bessemer Funds. The Reporting Person disclaims beneficial ownership of the securities held by the Bessemer Funds, except to the extent of his pecuniary interest, if any, in such securities by virtue of his indirect interest in the Bessemer Funds. This report shall not be deemed an admission that the Reporting Person is the beneficial owner of such securities.</w:t>
      </w:r>
    </w:p>
    <w:p>
      <w:pPr>
        <w:spacing w:after="0" w:line="4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Augie Wilkinson,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tcBorders>
              <w:top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8553" TargetMode="External"/><Relationship Id="rId14" Type="http://schemas.openxmlformats.org/officeDocument/2006/relationships/hyperlink" Target="http://www.sec.gov/cgi-bin/browse-edgar?action=getcompany&amp;CIK=00017623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2026-06-08T18:48:30Z</dcterms:created>
  <dcterms:modified xsi:type="dcterms:W3CDTF">2026-06-08T18:48:30Z</dcterms:modified>
</cp:coreProperties>
</file>