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Zohar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ELIEZER KAPLAN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6473409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Fiverr International Ltd.</w:t>
              </w:r>
            </w:hyperlink>
            <w:r>
              <w:rPr/>
              <w:t xml:space="preserve"> [ </w:t>
            </w:r>
            <w:r>
              <w:rPr>
                <w:rFonts w:ascii="Times;serif" w:hAnsi="Times;serif"/>
                <w:color w:val="0000FF"/>
                <w:sz w:val="24"/>
                <w:shd w:fill="FFFFFF" w:val="clear"/>
              </w:rPr>
              <w:t>FVRR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4,982</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w:t>
            </w:r>
            <w:r>
              <w:rPr>
                <w:rFonts w:ascii="Times;serif" w:hAnsi="Times;serif"/>
                <w:color w:val="008000"/>
                <w:position w:val="7"/>
                <w:sz w:val="16"/>
                <w:sz w:val="20"/>
                <w:shd w:fill="FFFFFF" w:val="clear"/>
              </w:rPr>
              <w:t>(2)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81,968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transactions at prices ranging from $9.03 to $9.19, inclusive. The Reporting Person undertakes to provide to Fiverr, any security holder of Fiverr,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Yair Shalmoni, as Attorney-in-Fact, for Nir Zohar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5805" TargetMode="External"/><Relationship Id="rId5" Type="http://schemas.openxmlformats.org/officeDocument/2006/relationships/hyperlink" Target="http://www.sec.gov/cgi-bin/browse-edgar?action=getcompany&amp;CIK=00017623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3551</Characters>
  <CharactersWithSpaces>4144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