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pPr>
      <w:r>
        <w:rPr/>
      </w:r>
      <w:bookmarkStart w:id="0" w:name="zk2635743.htm"/>
      <w:bookmarkStart w:id="1" w:name="kszk2635743"/>
      <w:bookmarkStart w:id="2" w:name="zk2635743.htm"/>
      <w:bookmarkStart w:id="3" w:name="kszk2635743"/>
      <w:bookmarkEnd w:id="2"/>
      <w:bookmarkEnd w:id="3"/>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UNITED STATES</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lineRule="auto" w:line="30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hd w:fill="FFFFFF" w:val="clear"/>
        </w:rPr>
      </w:pPr>
      <w:r>
        <w:rPr>
          <w:rFonts w:ascii="Times New Roman;Times;serif" w:hAnsi="Times New Roman;Times;serif"/>
          <w:b/>
          <w:i w:val="false"/>
          <w:caps w:val="false"/>
          <w:smallCaps w:val="false"/>
          <w:color w:val="000000"/>
          <w:shd w:fill="FFFFFF" w:val="clea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6-K</w:t>
      </w:r>
    </w:p>
    <w:p>
      <w:pPr>
        <w:pStyle w:val="TextBody"/>
        <w:bidi w:val="0"/>
        <w:spacing w:lineRule="auto" w:line="300" w:before="0" w:after="0"/>
        <w:jc w:val="center"/>
        <w:rPr>
          <w:rFonts w:ascii="Times New Roman;Times;serif" w:hAnsi="Times New Roman;Times;serif"/>
          <w:b/>
          <w:i w:val="false"/>
          <w:caps w:val="false"/>
          <w:smallCaps w:val="false"/>
          <w:color w:val="000000"/>
          <w:shd w:fill="FFFFFF" w:val="clear"/>
        </w:rPr>
      </w:pPr>
      <w:r>
        <w:rPr>
          <w:rFonts w:ascii="Times New Roman;Times;serif" w:hAnsi="Times New Roman;Times;serif"/>
          <w:b/>
          <w:i w:val="false"/>
          <w:caps w:val="false"/>
          <w:smallCaps w:val="false"/>
          <w:color w:val="000000"/>
          <w:shd w:fill="FFFFFF" w:val="clear"/>
        </w:rPr>
      </w:r>
    </w:p>
    <w:p>
      <w:pPr>
        <w:pStyle w:val="HorizontalLine"/>
        <w:pBdr>
          <w:bottom w:val="single" w:sz="12" w:space="0" w:color="808080"/>
        </w:pBdr>
        <w:bidi w:val="0"/>
        <w:spacing w:lineRule="auto" w:line="300"/>
        <w:jc w:val="center"/>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SECTION 13a-16 OR 15d-16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 the month of July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Number: 001-38929</w:t>
      </w:r>
    </w:p>
    <w:p>
      <w:pPr>
        <w:pStyle w:val="TextBody"/>
        <w:bidi w:val="0"/>
        <w:spacing w:lineRule="auto" w:line="300" w:before="0" w:after="0"/>
        <w:jc w:val="center"/>
        <w:rPr>
          <w:b/>
        </w:rPr>
      </w:pPr>
      <w:r>
        <w:rPr>
          <w:b/>
        </w:rPr>
      </w:r>
    </w:p>
    <w:p>
      <w:pPr>
        <w:pStyle w:val="HorizontalLine"/>
        <w:pBdr>
          <w:bottom w:val="single" w:sz="12" w:space="0" w:color="808080"/>
        </w:pBdr>
        <w:bidi w:val="0"/>
        <w:spacing w:lineRule="auto" w:line="300"/>
        <w:jc w:val="center"/>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hd w:fill="FFFFFF" w:val="clear"/>
        </w:rPr>
      </w:pPr>
      <w:r>
        <w:rPr>
          <w:rFonts w:ascii="Times New Roman;Times;serif" w:hAnsi="Times New Roman;Times;serif"/>
          <w:b/>
          <w:i w:val="false"/>
          <w:caps w:val="false"/>
          <w:smallCaps w:val="false"/>
          <w:color w:val="000000"/>
          <w:shd w:fill="FFFFFF" w:val="clear"/>
        </w:rPr>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Fiverr International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(Translation of registrant’s name into English)</w:t>
      </w:r>
    </w:p>
    <w:p>
      <w:pPr>
        <w:pStyle w:val="TextBody"/>
        <w:bidi w:val="0"/>
        <w:spacing w:lineRule="auto" w:line="300" w:before="0" w:after="0"/>
        <w:jc w:val="center"/>
        <w:rPr>
          <w:b/>
        </w:rPr>
      </w:pPr>
      <w:r>
        <w:rPr>
          <w:b/>
        </w:rPr>
      </w:r>
    </w:p>
    <w:p>
      <w:pPr>
        <w:pStyle w:val="HorizontalLine"/>
        <w:pBdr>
          <w:bottom w:val="single" w:sz="12" w:space="0" w:color="808080"/>
        </w:pBdr>
        <w:bidi w:val="0"/>
        <w:spacing w:lineRule="auto" w:line="300"/>
        <w:jc w:val="center"/>
        <w:rPr/>
      </w:pPr>
      <w:r>
        <w:rPr/>
      </w:r>
    </w:p>
    <w:p>
      <w:pPr>
        <w:pStyle w:val="TextBody"/>
        <w:bidi w:val="0"/>
        <w:spacing w:lineRule="auto" w:line="300" w:before="0" w:after="0"/>
        <w:jc w:val="center"/>
        <w:rPr>
          <w:color w:val="000000"/>
        </w:rPr>
      </w:pPr>
      <w:r>
        <w:rPr>
          <w:color w:val="000000"/>
        </w:rPr>
        <w:t xml:space="preserve">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8 Eliezer Kaplan Street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Tel Aviv 6473409, Israel</w:t>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(Address of principal executive offices)</w:t>
      </w:r>
    </w:p>
    <w:p>
      <w:pPr>
        <w:pStyle w:val="TextBody"/>
        <w:bidi w:val="0"/>
        <w:spacing w:lineRule="auto" w:line="300" w:before="0" w:after="0"/>
        <w:jc w:val="center"/>
        <w:rPr>
          <w:b/>
        </w:rPr>
      </w:pPr>
      <w:r>
        <w:rPr>
          <w:b/>
        </w:rPr>
      </w:r>
    </w:p>
    <w:p>
      <w:pPr>
        <w:pStyle w:val="HorizontalLine"/>
        <w:pBdr>
          <w:bottom w:val="single" w:sz="12" w:space="0" w:color="808080"/>
        </w:pBdr>
        <w:bidi w:val="0"/>
        <w:spacing w:lineRule="auto" w:line="300"/>
        <w:jc w:val="center"/>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 </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On July 29, 2026, Fiverr International Ltd. (the “</w:t>
      </w:r>
      <w:r>
        <w:rPr>
          <w:rFonts w:ascii="Times New Roman;Times;serif" w:hAnsi="Times New Roman;Times;serif"/>
          <w:b/>
          <w:i/>
          <w:color w:val="000000"/>
          <w:sz w:val="20"/>
        </w:rPr>
        <w:t>Company</w:t>
      </w:r>
      <w:r>
        <w:rPr>
          <w:rFonts w:ascii="Times New Roman;Times;serif" w:hAnsi="Times New Roman;Times;serif"/>
          <w:color w:val="000000"/>
          <w:sz w:val="20"/>
        </w:rPr>
        <w:t>”) will hold a conference call regarding its unaudited financial results for the second quarter ended June 30, 2026.  A copy of the related press release is furnished as Exhibit 99.1 hereto.</w:t>
      </w:r>
    </w:p>
    <w:p>
      <w:pPr>
        <w:pStyle w:val="Normal"/>
        <w:bidi w:val="0"/>
        <w:spacing w:before="0" w:after="0"/>
        <w:jc w:val="left"/>
        <w:rPr>
          <w:sz w:val="4"/>
          <w:szCs w:val="4"/>
        </w:rPr>
      </w:pPr>
      <w:r>
        <w:rPr>
          <w:sz w:val="4"/>
          <w:szCs w:val="4"/>
        </w:rPr>
      </w:r>
      <w:bookmarkStart w:id="4" w:name="ze9069c8e68ab4092b4cbb2a96aa0695a"/>
      <w:bookmarkStart w:id="5" w:name="ze9069c8e68ab4092b4cbb2a96aa0695a"/>
      <w:bookmarkEnd w:id="5"/>
    </w:p>
    <w:tbl>
      <w:tblPr>
        <w:tblW w:w="7150" w:type="dxa"/>
        <w:jc w:val="left"/>
        <w:tblInd w:w="0" w:type="dxa"/>
        <w:tblLayout w:type="fixed"/>
        <w:tblCellMar>
          <w:top w:w="0" w:type="dxa"/>
          <w:left w:w="0" w:type="dxa"/>
          <w:bottom w:w="0" w:type="dxa"/>
          <w:right w:w="0" w:type="dxa"/>
        </w:tblCellMar>
      </w:tblPr>
      <w:tblGrid>
        <w:gridCol w:w="1145"/>
        <w:gridCol w:w="120"/>
        <w:gridCol w:w="5885"/>
      </w:tblGrid>
      <w:tr>
        <w:trPr/>
        <w:tc>
          <w:tcPr>
            <w:tcW w:w="1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left"/>
              <w:rPr/>
            </w:pPr>
            <w:r>
              <w:rPr/>
              <w:t> </w:t>
            </w:r>
          </w:p>
        </w:tc>
      </w:tr>
      <w:tr>
        <w:trPr/>
        <w:tc>
          <w:tcPr>
            <w:tcW w:w="1145" w:type="dxa"/>
            <w:tcBorders>
              <w:bottom w:val="single" w:sz="12" w:space="0" w:color="000000"/>
            </w:tcBorders>
            <w:tcMar>
              <w:bottom w:w="28" w:type="dxa"/>
            </w:tcMar>
            <w:vAlign w:val="center"/>
          </w:tcPr>
          <w:p>
            <w:pPr>
              <w:pStyle w:val="TableContents"/>
              <w:bidi w:val="0"/>
              <w:spacing w:lineRule="auto" w:line="300" w:before="0" w:after="0"/>
              <w:jc w:val="center"/>
              <w:rPr/>
            </w:pPr>
            <w:r>
              <w:rPr/>
              <w:t>Exhibit No.</w:t>
            </w:r>
          </w:p>
        </w:tc>
        <w:tc>
          <w:tcPr>
            <w:tcW w:w="120" w:type="dxa"/>
            <w:tcBorders/>
            <w:vAlign w:val="center"/>
          </w:tcPr>
          <w:p>
            <w:pPr>
              <w:pStyle w:val="TableContents"/>
              <w:bidi w:val="0"/>
              <w:spacing w:lineRule="auto" w:line="300" w:before="0" w:after="0"/>
              <w:jc w:val="left"/>
              <w:rPr/>
            </w:pPr>
            <w:r>
              <w:rPr/>
              <w:t>  </w:t>
            </w:r>
          </w:p>
        </w:tc>
        <w:tc>
          <w:tcPr>
            <w:tcW w:w="5885" w:type="dxa"/>
            <w:tcBorders>
              <w:bottom w:val="single" w:sz="12" w:space="0" w:color="000000"/>
            </w:tcBorders>
            <w:tcMar>
              <w:bottom w:w="28" w:type="dxa"/>
            </w:tcMar>
            <w:vAlign w:val="center"/>
          </w:tcPr>
          <w:p>
            <w:pPr>
              <w:pStyle w:val="TableContents"/>
              <w:bidi w:val="0"/>
              <w:spacing w:lineRule="auto" w:line="300" w:before="0" w:after="0"/>
              <w:jc w:val="left"/>
              <w:rPr/>
            </w:pPr>
            <w:r>
              <w:rPr/>
              <w:t>Description</w:t>
            </w:r>
          </w:p>
        </w:tc>
      </w:tr>
      <w:tr>
        <w:trPr/>
        <w:tc>
          <w:tcPr>
            <w:tcW w:w="1145" w:type="dxa"/>
            <w:tcBorders/>
            <w:vAlign w:val="center"/>
          </w:tcPr>
          <w:p>
            <w:pPr>
              <w:pStyle w:val="TableContents"/>
              <w:bidi w:val="0"/>
              <w:spacing w:before="0" w:after="283"/>
              <w:jc w:val="left"/>
              <w:rPr/>
            </w:pPr>
            <w:r>
              <w:rPr/>
              <w:t> </w:t>
            </w:r>
          </w:p>
        </w:tc>
        <w:tc>
          <w:tcPr>
            <w:tcW w:w="6005" w:type="dxa"/>
            <w:gridSpan w:val="2"/>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lineRule="auto" w:line="300" w:before="0" w:after="0"/>
              <w:jc w:val="center"/>
              <w:rPr/>
            </w:pPr>
            <w:hyperlink w:anchor="exhibit_99-1.htm">
              <w:r>
                <w:rPr>
                  <w:rStyle w:val="InternetLink"/>
                  <w:rFonts w:ascii="Times New Roman;Times;serif" w:hAnsi="Times New Roman;Times;serif"/>
                </w:rPr>
                <w:t>99.1</w:t>
              </w:r>
            </w:hyperlink>
          </w:p>
        </w:tc>
        <w:tc>
          <w:tcPr>
            <w:tcW w:w="120" w:type="dxa"/>
            <w:tcBorders/>
            <w:vAlign w:val="center"/>
          </w:tcPr>
          <w:p>
            <w:pPr>
              <w:pStyle w:val="TableContents"/>
              <w:bidi w:val="0"/>
              <w:spacing w:before="0" w:after="283"/>
              <w:jc w:val="left"/>
              <w:rPr/>
            </w:pPr>
            <w:r>
              <w:rPr/>
            </w:r>
          </w:p>
        </w:tc>
        <w:tc>
          <w:tcPr>
            <w:tcW w:w="5885" w:type="dxa"/>
            <w:tcBorders/>
            <w:vAlign w:val="center"/>
          </w:tcPr>
          <w:p>
            <w:pPr>
              <w:pStyle w:val="TableContents"/>
              <w:bidi w:val="0"/>
              <w:spacing w:lineRule="auto" w:line="300" w:before="0" w:after="0"/>
              <w:jc w:val="left"/>
              <w:rPr/>
            </w:pPr>
            <w:hyperlink w:anchor="exhibit_99-1.htm">
              <w:r>
                <w:rPr>
                  <w:rStyle w:val="InternetLink"/>
                </w:rPr>
                <w:t>Press Release of Fiverr International Ltd., dated July 29, 2026</w:t>
              </w:r>
            </w:hyperlink>
          </w:p>
        </w:tc>
      </w:tr>
    </w:tbl>
    <w:p>
      <w:pPr>
        <w:pStyle w:val="TextBody"/>
        <w:bidi w:val="0"/>
        <w:spacing w:lineRule="auto" w:line="300"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8c909b3fe7d84209b964bbcd020cb358"/>
      <w:bookmarkStart w:id="7" w:name="z8c909b3fe7d84209b964bbcd020cb358"/>
      <w:bookmarkEnd w:id="7"/>
    </w:p>
    <w:tbl>
      <w:tblPr>
        <w:tblW w:w="4600" w:type="dxa"/>
        <w:jc w:val="left"/>
        <w:tblInd w:w="0" w:type="dxa"/>
        <w:tblLayout w:type="fixed"/>
        <w:tblCellMar>
          <w:top w:w="0" w:type="dxa"/>
          <w:left w:w="0" w:type="dxa"/>
          <w:bottom w:w="0" w:type="dxa"/>
          <w:right w:w="0" w:type="dxa"/>
        </w:tblCellMar>
      </w:tblPr>
      <w:tblGrid>
        <w:gridCol w:w="1895"/>
        <w:gridCol w:w="120"/>
        <w:gridCol w:w="2585"/>
      </w:tblGrid>
      <w:tr>
        <w:trPr/>
        <w:tc>
          <w:tcPr>
            <w:tcW w:w="1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lineRule="auto" w:line="300" w:before="0" w:after="0"/>
              <w:jc w:val="left"/>
              <w:rPr/>
            </w:pPr>
            <w:r>
              <w:rPr/>
              <w:t>  </w:t>
            </w:r>
          </w:p>
        </w:tc>
        <w:tc>
          <w:tcPr>
            <w:tcW w:w="2585" w:type="dxa"/>
            <w:tcBorders/>
            <w:vAlign w:val="center"/>
          </w:tcPr>
          <w:p>
            <w:pPr>
              <w:pStyle w:val="TableContents"/>
              <w:bidi w:val="0"/>
              <w:spacing w:lineRule="auto" w:line="300" w:before="0" w:after="0"/>
              <w:jc w:val="left"/>
              <w:rPr>
                <w:b/>
              </w:rPr>
            </w:pPr>
            <w:r>
              <w:rPr>
                <w:b/>
              </w:rPr>
              <w:t>Fiverr International Ltd.</w:t>
            </w:r>
          </w:p>
        </w:tc>
      </w:tr>
      <w:tr>
        <w:trPr/>
        <w:tc>
          <w:tcPr>
            <w:tcW w:w="1895" w:type="dxa"/>
            <w:tcBorders/>
            <w:vAlign w:val="center"/>
          </w:tcPr>
          <w:p>
            <w:pPr>
              <w:pStyle w:val="TableContents"/>
              <w:bidi w:val="0"/>
              <w:spacing w:before="0" w:after="283"/>
              <w:jc w:val="left"/>
              <w:rPr/>
            </w:pPr>
            <w:r>
              <w:rPr/>
              <w:t> </w:t>
            </w:r>
          </w:p>
        </w:tc>
        <w:tc>
          <w:tcPr>
            <w:tcW w:w="270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lineRule="auto" w:line="300" w:before="0" w:after="0"/>
              <w:jc w:val="left"/>
              <w:rPr/>
            </w:pPr>
            <w:r>
              <w:rPr/>
              <w:t>Date: July 29, 2026</w:t>
            </w:r>
          </w:p>
        </w:tc>
        <w:tc>
          <w:tcPr>
            <w:tcW w:w="120" w:type="dxa"/>
            <w:tcBorders/>
            <w:vAlign w:val="center"/>
          </w:tcPr>
          <w:p>
            <w:pPr>
              <w:pStyle w:val="TableContents"/>
              <w:bidi w:val="0"/>
              <w:spacing w:lineRule="auto" w:line="300" w:before="0" w:after="0"/>
              <w:jc w:val="left"/>
              <w:rPr/>
            </w:pPr>
            <w:r>
              <w:rPr/>
              <w:t>  </w:t>
            </w:r>
          </w:p>
        </w:tc>
        <w:tc>
          <w:tcPr>
            <w:tcW w:w="2585" w:type="dxa"/>
            <w:tcBorders/>
            <w:vAlign w:val="center"/>
          </w:tcPr>
          <w:p>
            <w:pPr>
              <w:pStyle w:val="TableContents"/>
              <w:bidi w:val="0"/>
              <w:spacing w:lineRule="auto" w:line="300" w:before="0" w:after="0"/>
              <w:jc w:val="left"/>
              <w:rPr/>
            </w:pPr>
            <w:r>
              <w:rPr/>
              <w:t>    </w:t>
            </w:r>
            <w:r>
              <w:rPr/>
              <w:t xml:space="preserve">By: </w:t>
            </w:r>
            <w:r>
              <w:rPr>
                <w:u w:val="single"/>
              </w:rPr>
              <w:t>/s/ Esti Levy-Dadon</w:t>
            </w:r>
          </w:p>
          <w:p>
            <w:pPr>
              <w:pStyle w:val="TableContents"/>
              <w:bidi w:val="0"/>
              <w:spacing w:lineRule="auto" w:line="300" w:before="0" w:after="0"/>
              <w:jc w:val="left"/>
              <w:rPr/>
            </w:pPr>
            <w:r>
              <w:rPr/>
              <w:t>    </w:t>
            </w:r>
            <w:r>
              <w:rPr/>
              <w:t>Esti Levy-Dadon</w:t>
            </w:r>
          </w:p>
          <w:p>
            <w:pPr>
              <w:pStyle w:val="TableContents"/>
              <w:bidi w:val="0"/>
              <w:spacing w:lineRule="auto" w:line="300" w:before="0" w:after="0"/>
              <w:jc w:val="left"/>
              <w:rPr/>
            </w:pPr>
            <w:r>
              <w:rPr/>
              <w:t>    </w:t>
            </w:r>
            <w:r>
              <w:rPr/>
              <w:t>Chief Financial Officer</w:t>
            </w:r>
          </w:p>
        </w:tc>
      </w:tr>
    </w:tbl>
    <w:p>
      <w:pPr>
        <w:pStyle w:val="TextBody"/>
        <w:bidi w:val="0"/>
        <w:spacing w:lineRule="auto" w:line="300" w:before="0" w:after="0"/>
        <w:jc w:val="left"/>
        <w:rPr/>
      </w:pPr>
      <w:r>
        <w:rPr/>
      </w:r>
    </w:p>
    <w:p>
      <w:pPr>
        <w:pStyle w:val="TextBody"/>
        <w:bidi w:val="0"/>
        <w:spacing w:lineRule="auto" w:line="300" w:before="0" w:after="0"/>
        <w:jc w:val="center"/>
        <w:rPr/>
      </w:pPr>
      <w:r>
        <w:rPr/>
      </w:r>
    </w:p>
    <w:p>
      <w:pPr>
        <w:pStyle w:val="HorizontalLine"/>
        <w:bidi w:val="0"/>
        <w:spacing w:lineRule="auto" w:line="300"/>
        <w:jc w:val="left"/>
        <w:rPr/>
      </w:pPr>
      <w:r>
        <w:rPr/>
      </w:r>
    </w:p>
    <w:p>
      <w:pPr>
        <w:pStyle w:val="TextBody"/>
        <w:bidi w:val="0"/>
        <w:spacing w:lineRule="auto" w:line="300"/>
        <w:jc w:val="left"/>
        <w:rPr/>
      </w:pPr>
      <w:r>
        <w:rPr/>
      </w:r>
    </w:p>
    <w:p>
      <w:pPr>
        <w:pStyle w:val="HorizontalLine"/>
        <w:bidi w:val="0"/>
        <w:spacing w:lineRule="auto" w:line="300"/>
        <w:jc w:val="left"/>
        <w:rPr/>
      </w:pPr>
      <w:r>
        <w:rPr/>
      </w:r>
      <w:bookmarkStart w:id="8" w:name="exhibit_99-1.htm"/>
      <w:bookmarkStart w:id="9" w:name="ksexhibit_991"/>
      <w:bookmarkStart w:id="10" w:name="exhibit_99-1.htm"/>
      <w:bookmarkStart w:id="11" w:name="ksexhibit_991"/>
      <w:bookmarkEnd w:id="10"/>
      <w:bookmarkEnd w:id="11"/>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lineRule="auto" w:line="300" w:before="0" w:after="0"/>
        <w:ind w:left="0" w:right="0" w:firstLine="20"/>
        <w:jc w:val="center"/>
        <w:rPr>
          <w:b/>
        </w:rPr>
      </w:pPr>
      <w:r>
        <w:rPr>
          <w:b/>
        </w:rPr>
      </w:r>
    </w:p>
    <w:p>
      <w:pPr>
        <w:pStyle w:val="TextBody"/>
        <w:bidi w:val="0"/>
        <w:spacing w:lineRule="auto" w:line="300" w:before="0" w:after="0"/>
        <w:ind w:left="0" w:right="0" w:firstLine="20"/>
        <w:jc w:val="center"/>
        <w:rPr>
          <w:rFonts w:ascii="Times New Roman;Times;serif" w:hAnsi="Times New Roman;Times;serif"/>
          <w:b/>
          <w:color w:val="000000"/>
          <w:sz w:val="24"/>
        </w:rPr>
      </w:pPr>
      <w:r>
        <w:rPr>
          <w:rFonts w:ascii="Times New Roman;Times;serif" w:hAnsi="Times New Roman;Times;serif"/>
          <w:b/>
          <w:color w:val="000000"/>
          <w:sz w:val="24"/>
        </w:rPr>
        <w:t>Fiverr Announces Second Quarter 2026 Results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360"/>
        <w:jc w:val="left"/>
        <w:rPr>
          <w:color w:val="000000"/>
        </w:rPr>
      </w:pPr>
      <w:r>
        <w:rPr>
          <w:color w:val="000000"/>
        </w:rPr>
        <w:t xml:space="preserve">●     </w:t>
      </w:r>
      <w:r>
        <w:rPr>
          <w:rFonts w:ascii="Times New Roman;Times;serif" w:hAnsi="Times New Roman;Times;serif"/>
          <w:b/>
          <w:color w:val="000000"/>
          <w:sz w:val="20"/>
        </w:rPr>
        <w:t xml:space="preserve">Strategic shift towards upmarket: </w:t>
      </w:r>
      <w:r>
        <w:rPr>
          <w:rFonts w:ascii="Times New Roman;Times;serif" w:hAnsi="Times New Roman;Times;serif"/>
          <w:color w:val="000000"/>
          <w:sz w:val="20"/>
        </w:rPr>
        <w:t xml:space="preserve">Transitioning from a transaction-oriented marketplace toward a trusted work platform for higher-value projects.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360"/>
        <w:jc w:val="left"/>
        <w:rPr>
          <w:color w:val="000000"/>
        </w:rPr>
      </w:pPr>
      <w:r>
        <w:rPr>
          <w:color w:val="000000"/>
        </w:rPr>
        <w:t xml:space="preserve">●     </w:t>
      </w:r>
      <w:r>
        <w:rPr>
          <w:rFonts w:ascii="Times New Roman;Times;serif" w:hAnsi="Times New Roman;Times;serif"/>
          <w:b/>
          <w:color w:val="000000"/>
          <w:sz w:val="20"/>
        </w:rPr>
        <w:t xml:space="preserve">Early indicators in higher-value work: </w:t>
      </w:r>
      <w:r>
        <w:rPr>
          <w:rFonts w:ascii="Times New Roman;Times;serif" w:hAnsi="Times New Roman;Times;serif"/>
          <w:color w:val="000000"/>
          <w:sz w:val="20"/>
        </w:rPr>
        <w:t xml:space="preserve">Clients completing $1,000+ projects grew 13% y/y on a trailing twelve month basis.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360"/>
        <w:jc w:val="left"/>
        <w:rPr>
          <w:color w:val="000000"/>
        </w:rPr>
      </w:pPr>
      <w:r>
        <w:rPr>
          <w:color w:val="000000"/>
        </w:rPr>
        <w:t xml:space="preserve">●     </w:t>
      </w:r>
      <w:r>
        <w:rPr>
          <w:rFonts w:ascii="Times New Roman;Times;serif" w:hAnsi="Times New Roman;Times;serif"/>
          <w:b/>
          <w:color w:val="000000"/>
          <w:sz w:val="20"/>
        </w:rPr>
        <w:t xml:space="preserve">Infrastructure and matching optimization: </w:t>
      </w:r>
      <w:r>
        <w:rPr>
          <w:rFonts w:ascii="Times New Roman;Times;serif" w:hAnsi="Times New Roman;Times;serif"/>
          <w:color w:val="000000"/>
          <w:sz w:val="20"/>
        </w:rPr>
        <w:t>Implemented upgrades to improve matching quality and project outcomes for higher-value work, including live deployment of Fiverr’s proprietary Knowledge Graph.</w:t>
      </w:r>
    </w:p>
    <w:p>
      <w:pPr>
        <w:pStyle w:val="TextBody"/>
        <w:bidi w:val="0"/>
        <w:spacing w:lineRule="auto" w:line="300" w:before="0" w:after="0"/>
        <w:ind w:left="720" w:right="0" w:hanging="360"/>
        <w:jc w:val="left"/>
        <w:rPr/>
      </w:pPr>
      <w:r>
        <w:rPr/>
      </w:r>
    </w:p>
    <w:p>
      <w:pPr>
        <w:pStyle w:val="TextBody"/>
        <w:bidi w:val="0"/>
        <w:spacing w:lineRule="auto" w:line="300" w:before="0" w:after="0"/>
        <w:ind w:left="720" w:right="0" w:hanging="360"/>
        <w:jc w:val="left"/>
        <w:rPr>
          <w:color w:val="000000"/>
        </w:rPr>
      </w:pPr>
      <w:r>
        <w:rPr>
          <w:color w:val="000000"/>
        </w:rPr>
        <w:t xml:space="preserve">●     </w:t>
      </w:r>
      <w:r>
        <w:rPr>
          <w:rFonts w:ascii="Times New Roman;Times;serif" w:hAnsi="Times New Roman;Times;serif"/>
          <w:b/>
          <w:color w:val="000000"/>
          <w:sz w:val="20"/>
        </w:rPr>
        <w:t xml:space="preserve">Capital allocation and liquidity: </w:t>
      </w:r>
      <w:r>
        <w:rPr>
          <w:rFonts w:ascii="Times New Roman;Times;serif" w:hAnsi="Times New Roman;Times;serif"/>
          <w:color w:val="000000"/>
          <w:sz w:val="20"/>
        </w:rPr>
        <w:t xml:space="preserve">Generated $13.6 million in free cash flow and ended with a cash, cash equivalent, deposits and marketable securities balance of $308.5 million.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360"/>
        <w:jc w:val="left"/>
        <w:rPr>
          <w:color w:val="000000"/>
        </w:rPr>
      </w:pPr>
      <w:r>
        <w:rPr>
          <w:color w:val="000000"/>
        </w:rPr>
        <w:t xml:space="preserve">●     </w:t>
      </w:r>
      <w:r>
        <w:rPr>
          <w:rFonts w:ascii="Times New Roman;Times;serif" w:hAnsi="Times New Roman;Times;serif"/>
          <w:b/>
          <w:color w:val="000000"/>
          <w:sz w:val="20"/>
        </w:rPr>
        <w:t xml:space="preserve">2026 Outlook: </w:t>
      </w:r>
      <w:r>
        <w:rPr>
          <w:rFonts w:ascii="Times New Roman;Times;serif" w:hAnsi="Times New Roman;Times;serif"/>
          <w:color w:val="000000"/>
          <w:sz w:val="20"/>
        </w:rPr>
        <w:t>Provided revised financial guidance ranges through fiscal year 2026 to reflect AI-related demand and traffic headwinds observed in recent weeks that have continued into the third quarter, and persistent weakness across categories most exposed to AI automation.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NEW YORK, July 29, 2026 - </w:t>
      </w:r>
      <w:r>
        <w:rPr>
          <w:rFonts w:ascii="Times New Roman;Times;serif" w:hAnsi="Times New Roman;Times;serif"/>
          <w:color w:val="000000"/>
          <w:sz w:val="20"/>
        </w:rPr>
        <w:t>Fiverr International Ltd. (NYSE: FVRR), the company that is transforming the way the world creates and works together, today reported financial results for the second quarter 2026. Additional operating results and management commentary can be found in the Company’s shareholder letter, which is posted to its investor relations website at </w:t>
      </w:r>
      <w:r>
        <w:rPr>
          <w:rFonts w:ascii="Times New Roman;Times;serif" w:hAnsi="Times New Roman;Times;serif"/>
          <w:color w:val="000000"/>
          <w:sz w:val="20"/>
          <w:u w:val="single"/>
        </w:rPr>
        <w:t>investors.fiverr.com</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rPr>
      </w:pPr>
      <w:r>
        <w:rPr>
          <w:color w:val="000000"/>
        </w:rPr>
        <w:t>“</w:t>
      </w:r>
      <w:r>
        <w:rPr>
          <w:rFonts w:ascii="Times New Roman;Times;serif" w:hAnsi="Times New Roman;Times;serif"/>
          <w:color w:val="000000"/>
          <w:sz w:val="20"/>
        </w:rPr>
        <w:t>What we’re seeing right now is an accelerated evolution of the freelance economy. Our second quarter results reflect a market that is changing faster than expected, driven by rapid AI adoption. As a result, we are focused on repositioning toward higher-value work. While AI absorbs high-volume, low-value, transactional tasks, it is also unlocking the need for longer duration projects where AI tools enhance human expertise, workflow management, and accountability,” said Micha Kaufman, founder and CEO of Fiverr. “This is a multi-quarter transformation, and our priority is to execute with discipline as we build Fiverr into a trusted destination for higher-value work.”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rPr>
      </w:pPr>
      <w:r>
        <w:rPr>
          <w:color w:val="000000"/>
        </w:rPr>
        <w:t>“</w:t>
      </w:r>
      <w:r>
        <w:rPr>
          <w:rFonts w:ascii="Times New Roman;Times;serif" w:hAnsi="Times New Roman;Times;serif"/>
          <w:color w:val="000000"/>
          <w:sz w:val="20"/>
        </w:rPr>
        <w:t>Our second quarter performance reflects the early stages of a significant transition, as we manage an accelerated shift in how rapid AI adoption impacts low-value, transactional work. We have adjusted our guidance to reflect these ongoing dynamics and the time required for our transformation initiatives to materialize in the financial results,” said Esti Levy-Dadon, CFO of Fiverr. “Importantly, we continue to run a lean organization, focused on cost discipline to maintain profitability. Our balance sheet will provide the necessary flexibility as we stabilize the core marketplace, invest in our upmarket transition, and evaluate capital allocation opportunities with a focus on long-term value creation.”</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r>
        <w:rPr>
          <w:rFonts w:ascii="Times New Roman;Times;serif" w:hAnsi="Times New Roman;Times;serif"/>
          <w:b/>
          <w:color w:val="000000"/>
          <w:sz w:val="20"/>
        </w:rPr>
        <w:br/>
        <w:t> Second Quarter 2026 Financial Highlights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2a62c51b223645d79319e4c8d87412ec"/>
      <w:bookmarkStart w:id="13" w:name="z2a62c51b223645d79319e4c8d87412ec"/>
      <w:bookmarkEnd w:id="1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Revenue in the second quarter of 2026 was $97.8 million, compared to $108.6 million in the second quarter of 2025, a decrease of 10.0% year over year.</w:t>
            </w:r>
          </w:p>
        </w:tc>
      </w:tr>
    </w:tbl>
    <w:p>
      <w:pPr>
        <w:pStyle w:val="Normal"/>
        <w:bidi w:val="0"/>
        <w:spacing w:before="0" w:after="0"/>
        <w:jc w:val="left"/>
        <w:rPr>
          <w:sz w:val="4"/>
          <w:szCs w:val="4"/>
        </w:rPr>
      </w:pPr>
      <w:r>
        <w:rPr>
          <w:sz w:val="4"/>
          <w:szCs w:val="4"/>
        </w:rPr>
      </w:r>
      <w:bookmarkStart w:id="14" w:name="z1cad5a08736d477f9104196de59c1e95"/>
      <w:bookmarkStart w:id="15" w:name="z1cad5a08736d477f9104196de59c1e95"/>
      <w:bookmarkEnd w:id="1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Marketplace revenue in the second quarter of 2026 was $63.1 million, compared to $74.7 million in the second quarter of 2025, a decline of 15.5% year over year.</w:t>
            </w:r>
          </w:p>
        </w:tc>
      </w:tr>
    </w:tbl>
    <w:p>
      <w:pPr>
        <w:pStyle w:val="Normal"/>
        <w:bidi w:val="0"/>
        <w:spacing w:before="0" w:after="0"/>
        <w:jc w:val="left"/>
        <w:rPr>
          <w:sz w:val="4"/>
          <w:szCs w:val="4"/>
        </w:rPr>
      </w:pPr>
      <w:r>
        <w:rPr>
          <w:sz w:val="4"/>
          <w:szCs w:val="4"/>
        </w:rPr>
      </w:r>
      <w:bookmarkStart w:id="16" w:name="z8cc292c5c61f4f5ebabedcc0dad4f98e"/>
      <w:bookmarkStart w:id="17" w:name="z8cc292c5c61f4f5ebabedcc0dad4f98e"/>
      <w:bookmarkEnd w:id="1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0"/>
              <w:jc w:val="left"/>
              <w:rPr/>
            </w:pPr>
            <w:r>
              <w:rPr/>
              <w:t>Annual active buyers1 as of June 30, 2026, were 2.7 million, compared to 3.4 million as of June 30, 2025, a decline of 21.9% year over year.</w:t>
            </w:r>
          </w:p>
        </w:tc>
      </w:tr>
    </w:tbl>
    <w:p>
      <w:pPr>
        <w:pStyle w:val="Normal"/>
        <w:bidi w:val="0"/>
        <w:spacing w:before="0" w:after="0"/>
        <w:jc w:val="left"/>
        <w:rPr>
          <w:sz w:val="4"/>
          <w:szCs w:val="4"/>
        </w:rPr>
      </w:pPr>
      <w:r>
        <w:rPr>
          <w:sz w:val="4"/>
          <w:szCs w:val="4"/>
        </w:rPr>
      </w:r>
      <w:bookmarkStart w:id="18" w:name="za33af4e23f8b4879ad56e16dd0b19df8"/>
      <w:bookmarkStart w:id="19" w:name="za33af4e23f8b4879ad56e16dd0b19df8"/>
      <w:bookmarkEnd w:id="1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0"/>
              <w:jc w:val="left"/>
              <w:rPr/>
            </w:pPr>
            <w:r>
              <w:rPr/>
              <w:t>Annual spend per buyer1 as of June 30, 2026, reached $368, compared to $318 as of June 30, 2025, an increase of 15.6% year over year.</w:t>
            </w:r>
          </w:p>
        </w:tc>
      </w:tr>
    </w:tbl>
    <w:p>
      <w:pPr>
        <w:pStyle w:val="Normal"/>
        <w:bidi w:val="0"/>
        <w:spacing w:before="0" w:after="0"/>
        <w:jc w:val="left"/>
        <w:rPr>
          <w:sz w:val="4"/>
          <w:szCs w:val="4"/>
        </w:rPr>
      </w:pPr>
      <w:r>
        <w:rPr>
          <w:sz w:val="4"/>
          <w:szCs w:val="4"/>
        </w:rPr>
      </w:r>
      <w:bookmarkStart w:id="20" w:name="z0853f402e13d47df9c528c7d585b715d"/>
      <w:bookmarkStart w:id="21" w:name="z0853f402e13d47df9c528c7d585b715d"/>
      <w:bookmarkEnd w:id="2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0"/>
              <w:jc w:val="left"/>
              <w:rPr/>
            </w:pPr>
            <w:r>
              <w:rPr/>
              <w:t>Marketplace take rate1 for the twelve months period ended June 30, 2026 was 28.0%, compared to 27.6% for the twelve months period ended June 30, 2025.</w:t>
            </w:r>
          </w:p>
        </w:tc>
      </w:tr>
    </w:tbl>
    <w:p>
      <w:pPr>
        <w:pStyle w:val="Normal"/>
        <w:bidi w:val="0"/>
        <w:spacing w:before="0" w:after="0"/>
        <w:jc w:val="left"/>
        <w:rPr>
          <w:sz w:val="4"/>
          <w:szCs w:val="4"/>
        </w:rPr>
      </w:pPr>
      <w:r>
        <w:rPr>
          <w:sz w:val="4"/>
          <w:szCs w:val="4"/>
        </w:rPr>
      </w:r>
      <w:bookmarkStart w:id="22" w:name="z11a3b3265e79488dacd35ebb388ecc32"/>
      <w:bookmarkStart w:id="23" w:name="z11a3b3265e79488dacd35ebb388ecc32"/>
      <w:bookmarkEnd w:id="2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Services revenue in the second quarter of 2026 was $34.6 million, compared to $34.0 million in the second quarter of 2025, an increase of 2.0% year over year.</w:t>
            </w:r>
          </w:p>
        </w:tc>
      </w:tr>
    </w:tbl>
    <w:p>
      <w:pPr>
        <w:pStyle w:val="Normal"/>
        <w:bidi w:val="0"/>
        <w:spacing w:before="0" w:after="0"/>
        <w:jc w:val="left"/>
        <w:rPr>
          <w:sz w:val="4"/>
          <w:szCs w:val="4"/>
        </w:rPr>
      </w:pPr>
      <w:r>
        <w:rPr>
          <w:sz w:val="4"/>
          <w:szCs w:val="4"/>
        </w:rPr>
      </w:r>
      <w:bookmarkStart w:id="24" w:name="z28df3b0b4fbd4dfeb2a1fe76718682ad"/>
      <w:bookmarkStart w:id="25" w:name="z28df3b0b4fbd4dfeb2a1fe76718682ad"/>
      <w:bookmarkEnd w:id="2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0"/>
              <w:jc w:val="left"/>
              <w:rPr/>
            </w:pPr>
            <w:r>
              <w:rPr/>
              <w:t>GAAP gross margin in the second quarter of 2026 was 81.7%, an increase of 50 basis points from 81.2% in the second quarter of 2025. Non-GAAP gross margin1 in the second quarter of 2026 was 84.7%, an increase of 20 basis points from 84.5% in the second quarter of 2025.</w:t>
            </w:r>
          </w:p>
        </w:tc>
      </w:tr>
    </w:tbl>
    <w:p>
      <w:pPr>
        <w:pStyle w:val="Normal"/>
        <w:bidi w:val="0"/>
        <w:spacing w:before="0" w:after="0"/>
        <w:jc w:val="left"/>
        <w:rPr>
          <w:sz w:val="4"/>
          <w:szCs w:val="4"/>
        </w:rPr>
      </w:pPr>
      <w:r>
        <w:rPr>
          <w:sz w:val="4"/>
          <w:szCs w:val="4"/>
        </w:rPr>
      </w:r>
      <w:bookmarkStart w:id="26" w:name="z211fdff1d49c484db2ecfcf1704d4faa"/>
      <w:bookmarkStart w:id="27" w:name="z211fdff1d49c484db2ecfcf1704d4faa"/>
      <w:bookmarkEnd w:id="2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GAAP net income in the second quarter of 2026 was $4.5 million, or $0.12 basic and diluted net income per share, compared to $3.2 million GAAP net income, or $0.09 basic and diluted net income per share in the second quarter of 2025.</w:t>
            </w:r>
          </w:p>
        </w:tc>
      </w:tr>
    </w:tbl>
    <w:p>
      <w:pPr>
        <w:pStyle w:val="Normal"/>
        <w:bidi w:val="0"/>
        <w:spacing w:before="0" w:after="0"/>
        <w:jc w:val="left"/>
        <w:rPr>
          <w:sz w:val="4"/>
          <w:szCs w:val="4"/>
        </w:rPr>
      </w:pPr>
      <w:r>
        <w:rPr>
          <w:sz w:val="4"/>
          <w:szCs w:val="4"/>
        </w:rPr>
      </w:r>
      <w:bookmarkStart w:id="28" w:name="z4012e0213ef34ad59bb78290d40551c1"/>
      <w:bookmarkStart w:id="29" w:name="z4012e0213ef34ad59bb78290d40551c1"/>
      <w:bookmarkEnd w:id="2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0"/>
              <w:jc w:val="left"/>
              <w:rPr/>
            </w:pPr>
            <w:r>
              <w:rPr/>
              <w:t>Non-GAAP net income1 in the second quarter of 2026 was $18.3 million, or $0.51 basic non-GAAP net income per share1 and $0.50 diluted non-GAAP net income per share1, compared to $27.4 million non-GAAP net income1, or $0.75 basic non-GAAP net income per share1 and $0.69 diluted non-GAAP net income per share1, in the second quarter of 2025.</w:t>
            </w:r>
          </w:p>
        </w:tc>
      </w:tr>
    </w:tbl>
    <w:p>
      <w:pPr>
        <w:pStyle w:val="Normal"/>
        <w:bidi w:val="0"/>
        <w:spacing w:before="0" w:after="0"/>
        <w:jc w:val="left"/>
        <w:rPr>
          <w:sz w:val="4"/>
          <w:szCs w:val="4"/>
        </w:rPr>
      </w:pPr>
      <w:r>
        <w:rPr>
          <w:sz w:val="4"/>
          <w:szCs w:val="4"/>
        </w:rPr>
      </w:r>
      <w:bookmarkStart w:id="30" w:name="z7302b1fba2824a58870b92a310cdf6d8"/>
      <w:bookmarkStart w:id="31" w:name="z7302b1fba2824a58870b92a310cdf6d8"/>
      <w:bookmarkEnd w:id="3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Net cash provided by operating activities in the second quarter of 2026 was $13.8 million, compared to $25.2 million in the second quarter of 2025, a decrease of 45.1% year over year.</w:t>
            </w:r>
          </w:p>
        </w:tc>
      </w:tr>
    </w:tbl>
    <w:p>
      <w:pPr>
        <w:pStyle w:val="Normal"/>
        <w:bidi w:val="0"/>
        <w:spacing w:before="0" w:after="0"/>
        <w:jc w:val="left"/>
        <w:rPr>
          <w:sz w:val="4"/>
          <w:szCs w:val="4"/>
        </w:rPr>
      </w:pPr>
      <w:r>
        <w:rPr>
          <w:sz w:val="4"/>
          <w:szCs w:val="4"/>
        </w:rPr>
      </w:r>
      <w:bookmarkStart w:id="32" w:name="za5d28514a38d49b09f0400d4bfbe9cf2"/>
      <w:bookmarkStart w:id="33" w:name="za5d28514a38d49b09f0400d4bfbe9cf2"/>
      <w:bookmarkEnd w:id="3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0"/>
              <w:jc w:val="left"/>
              <w:rPr/>
            </w:pPr>
            <w:r>
              <w:rPr/>
              <w:t>Free cash flow1 in the second quarter of 2026 was $13.6 million, compared to $25.0 million in the second quarter of 2025, a decrease of 45.5% year over year.</w:t>
            </w:r>
          </w:p>
        </w:tc>
      </w:tr>
    </w:tbl>
    <w:p>
      <w:pPr>
        <w:pStyle w:val="Normal"/>
        <w:bidi w:val="0"/>
        <w:spacing w:before="0" w:after="0"/>
        <w:jc w:val="left"/>
        <w:rPr>
          <w:sz w:val="4"/>
          <w:szCs w:val="4"/>
        </w:rPr>
      </w:pPr>
      <w:r>
        <w:rPr>
          <w:sz w:val="4"/>
          <w:szCs w:val="4"/>
        </w:rPr>
      </w:r>
      <w:bookmarkStart w:id="34" w:name="ze55d1c98296f4820a954d430aa82fce0"/>
      <w:bookmarkStart w:id="35" w:name="ze55d1c98296f4820a954d430aa82fce0"/>
      <w:bookmarkEnd w:id="3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0"/>
              <w:jc w:val="left"/>
              <w:rPr/>
            </w:pPr>
            <w:r>
              <w:rPr/>
              <w:t>Adjusted EBITDA1 in the second quarter of 2026 was $17.5 million, compared to $21.4 million in the second quarter of 2025. Adjusted EBITDA margin1 was 17.9% in the second quarter of 2026, compared to 19.7% in the second quarter of 2025, representing a 180 basis points decline year over year.</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Financial Outlook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Our revised financial guidance through the remainder of fiscal year 2026 reflects the accelerated impacts of certain external factors on the business, recent operating and financial performance, and the dynamic environment in which we will continue to operate as our business transformation progresses.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7e0912b7277243659a74000e6619e413"/>
      <w:bookmarkStart w:id="37" w:name="z7e0912b7277243659a74000e6619e413"/>
      <w:bookmarkEnd w:id="37"/>
    </w:p>
    <w:tbl>
      <w:tblPr>
        <w:tblW w:w="6015" w:type="dxa"/>
        <w:jc w:val="left"/>
        <w:tblInd w:w="0" w:type="dxa"/>
        <w:tblLayout w:type="fixed"/>
        <w:tblCellMar>
          <w:top w:w="28" w:type="dxa"/>
          <w:left w:w="28" w:type="dxa"/>
          <w:bottom w:w="0" w:type="dxa"/>
          <w:right w:w="0" w:type="dxa"/>
        </w:tblCellMar>
      </w:tblPr>
      <w:tblGrid>
        <w:gridCol w:w="2285"/>
        <w:gridCol w:w="1745"/>
        <w:gridCol w:w="1985"/>
      </w:tblGrid>
      <w:tr>
        <w:trPr/>
        <w:tc>
          <w:tcPr>
            <w:tcW w:w="2285" w:type="dxa"/>
            <w:tcBorders>
              <w:top w:val="single" w:sz="2" w:space="0" w:color="000000"/>
              <w:left w:val="single" w:sz="2" w:space="0" w:color="000000"/>
            </w:tcBorders>
            <w:vAlign w:val="center"/>
          </w:tcPr>
          <w:p>
            <w:pPr>
              <w:pStyle w:val="TableContents"/>
              <w:bidi w:val="0"/>
              <w:spacing w:lineRule="auto" w:line="300" w:before="0" w:after="0"/>
              <w:jc w:val="left"/>
              <w:rPr/>
            </w:pPr>
            <w:r>
              <w:rPr/>
              <w:t> </w:t>
            </w:r>
          </w:p>
        </w:tc>
        <w:tc>
          <w:tcPr>
            <w:tcW w:w="1745"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Q3 2026</w:t>
            </w:r>
          </w:p>
        </w:tc>
        <w:tc>
          <w:tcPr>
            <w:tcW w:w="1985"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rPr>
            </w:pPr>
            <w:r>
              <w:rPr>
                <w:b/>
              </w:rPr>
              <w:t>FY 2026</w:t>
            </w:r>
          </w:p>
        </w:tc>
      </w:tr>
      <w:tr>
        <w:trPr/>
        <w:tc>
          <w:tcPr>
            <w:tcW w:w="2285" w:type="dxa"/>
            <w:tcBorders>
              <w:top w:val="single" w:sz="2" w:space="0" w:color="000000"/>
              <w:left w:val="single" w:sz="2" w:space="0" w:color="000000"/>
            </w:tcBorders>
            <w:vAlign w:val="center"/>
          </w:tcPr>
          <w:p>
            <w:pPr>
              <w:pStyle w:val="TableContents"/>
              <w:bidi w:val="0"/>
              <w:spacing w:lineRule="auto" w:line="300" w:before="0" w:after="0"/>
              <w:jc w:val="left"/>
              <w:rPr>
                <w:b/>
              </w:rPr>
            </w:pPr>
            <w:r>
              <w:rPr>
                <w:b/>
              </w:rPr>
              <w:t>Revenue</w:t>
            </w:r>
          </w:p>
        </w:tc>
        <w:tc>
          <w:tcPr>
            <w:tcW w:w="1745"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$80 - $88 million</w:t>
            </w:r>
          </w:p>
        </w:tc>
        <w:tc>
          <w:tcPr>
            <w:tcW w:w="1985"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rPr>
            </w:pPr>
            <w:r>
              <w:rPr>
                <w:b/>
              </w:rPr>
              <w:t>$356 - $372 million</w:t>
            </w:r>
          </w:p>
        </w:tc>
      </w:tr>
      <w:tr>
        <w:trPr/>
        <w:tc>
          <w:tcPr>
            <w:tcW w:w="2285" w:type="dxa"/>
            <w:tcBorders>
              <w:top w:val="single" w:sz="2" w:space="0" w:color="000000"/>
              <w:left w:val="single" w:sz="2" w:space="0" w:color="000000"/>
            </w:tcBorders>
            <w:vAlign w:val="center"/>
          </w:tcPr>
          <w:p>
            <w:pPr>
              <w:pStyle w:val="TableContents"/>
              <w:bidi w:val="0"/>
              <w:spacing w:lineRule="auto" w:line="300" w:before="0" w:after="0"/>
              <w:ind w:left="140" w:right="0" w:hanging="0"/>
              <w:jc w:val="left"/>
              <w:rPr>
                <w:b/>
              </w:rPr>
            </w:pPr>
            <w:r>
              <w:rPr>
                <w:b/>
              </w:rPr>
              <w:t>y/y growth</w:t>
            </w:r>
          </w:p>
        </w:tc>
        <w:tc>
          <w:tcPr>
            <w:tcW w:w="1745" w:type="dxa"/>
            <w:tcBorders>
              <w:top w:val="single" w:sz="2" w:space="0" w:color="000000"/>
              <w:left w:val="single" w:sz="2" w:space="0" w:color="000000"/>
            </w:tcBorders>
            <w:vAlign w:val="center"/>
          </w:tcPr>
          <w:p>
            <w:pPr>
              <w:pStyle w:val="TableContents"/>
              <w:bidi w:val="0"/>
              <w:spacing w:lineRule="auto" w:line="300" w:before="0" w:after="0"/>
              <w:jc w:val="center"/>
              <w:rPr>
                <w:b/>
              </w:rPr>
            </w:pPr>
            <w:r>
              <w:rPr>
                <w:b/>
              </w:rPr>
              <w:t>(26)% - (18)%</w:t>
            </w:r>
          </w:p>
        </w:tc>
        <w:tc>
          <w:tcPr>
            <w:tcW w:w="1985"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center"/>
              <w:rPr>
                <w:b/>
              </w:rPr>
            </w:pPr>
            <w:r>
              <w:rPr>
                <w:b/>
              </w:rPr>
              <w:t>(17)% - (14)%</w:t>
            </w:r>
          </w:p>
        </w:tc>
      </w:tr>
      <w:tr>
        <w:trPr/>
        <w:tc>
          <w:tcPr>
            <w:tcW w:w="228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240" w:before="0" w:after="0"/>
              <w:jc w:val="left"/>
              <w:rPr>
                <w:b/>
              </w:rPr>
            </w:pPr>
            <w:r>
              <w:rPr>
                <w:b/>
              </w:rPr>
              <w:t>Adjusted EBITDA(1)</w:t>
            </w:r>
          </w:p>
        </w:tc>
        <w:tc>
          <w:tcPr>
            <w:tcW w:w="174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center"/>
              <w:rPr>
                <w:b/>
              </w:rPr>
            </w:pPr>
            <w:r>
              <w:rPr>
                <w:b/>
              </w:rPr>
              <w:t>$8 - $12 million</w:t>
            </w:r>
          </w:p>
        </w:tc>
        <w:tc>
          <w:tcPr>
            <w:tcW w:w="1985" w:type="dxa"/>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lineRule="auto" w:line="300" w:before="0" w:after="0"/>
              <w:jc w:val="center"/>
              <w:rPr>
                <w:b/>
              </w:rPr>
            </w:pPr>
            <w:r>
              <w:rPr>
                <w:b/>
              </w:rPr>
              <w:t>$52 - $62 million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Conference Call and Webcast Details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Fiverr’s management will host a conference call to discuss its financial results on Wednesday, July 29, 2026, at 8:30 a.m. Eastern Time. A live webcast of the call can be accessed from Fiverr’s </w:t>
      </w:r>
      <w:r>
        <w:rPr>
          <w:rFonts w:ascii="Times New Roman;Times;serif" w:hAnsi="Times New Roman;Times;serif"/>
          <w:color w:val="000000"/>
          <w:sz w:val="20"/>
          <w:u w:val="single"/>
        </w:rPr>
        <w:t>Investor Relations website</w:t>
      </w:r>
      <w:r>
        <w:rPr>
          <w:rFonts w:ascii="Times New Roman;Times;serif" w:hAnsi="Times New Roman;Times;serif"/>
          <w:color w:val="000000"/>
          <w:sz w:val="20"/>
        </w:rPr>
        <w:t>. An archived version will be available on the website after the call. To participate in the conference call, please dial: Toll-Free: 1-833-630-1956 or International: 1-412-317-1837.</w:t>
      </w:r>
    </w:p>
    <w:p>
      <w:pPr>
        <w:pStyle w:val="TextBody"/>
        <w:bidi w:val="0"/>
        <w:spacing w:before="0" w:after="0"/>
        <w:jc w:val="left"/>
        <w:rPr/>
      </w:pPr>
      <w:r>
        <w:rPr/>
      </w:r>
    </w:p>
    <w:p>
      <w:pPr>
        <w:pStyle w:val="TextBody"/>
        <w:bidi w:val="0"/>
        <w:spacing w:lineRule="auto" w:line="300"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______________________</w:t>
      </w:r>
    </w:p>
    <w:p>
      <w:pPr>
        <w:pStyle w:val="TextBody"/>
        <w:bidi w:val="0"/>
        <w:spacing w:lineRule="auto" w:line="240" w:before="0" w:after="0"/>
        <w:jc w:val="left"/>
        <w:rPr>
          <w:rFonts w:ascii="Times New Roman;Times;serif" w:hAnsi="Times New Roman;Times;serif"/>
          <w:b w:val="false"/>
          <w:color w:val="000000"/>
          <w:sz w:val="20"/>
        </w:rPr>
      </w:pPr>
      <w:r>
        <w:rPr>
          <w:rFonts w:ascii="Inter" w:hAnsi="Inter"/>
          <w:b w:val="false"/>
          <w:color w:val="000000"/>
          <w:sz w:val="20"/>
        </w:rPr>
        <w:t>1</w:t>
      </w:r>
      <w:r>
        <w:rPr>
          <w:rFonts w:ascii="Times New Roman;Times;serif" w:hAnsi="Times New Roman;Times;serif"/>
          <w:b w:val="false"/>
          <w:color w:val="000000"/>
          <w:sz w:val="20"/>
        </w:rPr>
        <w:t> See “Key Performance Metrics and Non-GAAP Financial Measures” and reconciliation tables at the end of this release for additional information regarding the non-GAAP metrics and Key Performance Metrics used in this release.</w:t>
      </w:r>
    </w:p>
    <w:p>
      <w:pPr>
        <w:pStyle w:val="TextBody"/>
        <w:bidi w:val="0"/>
        <w:spacing w:lineRule="auto" w:line="300"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Fiverr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Fiverr’s mission is to transform the way the world creates and works together. We’re shaping the future of work with the world’s leading open platform, seamlessly connecting top talent and cutting-edge technology with businesses around the globe. From expert freelancers in over 750 skilled categories to best-in-class GenAI models and agents, Fiverr provides the most advanced and comprehensive talent and tools for digital services—helping businesses get mission-critical projects done fast and cost-effectively.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From small businesses to Fortune 500 companies, millions trust Fiverr for projects in software and AI development, digital marketing, finance, business consulting, video animation, music, architecture, and more.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Learn how to future-proof your business with exceptional talent and cutting-edge tools at </w:t>
      </w:r>
      <w:r>
        <w:rPr>
          <w:rFonts w:ascii="Times New Roman;Times;serif" w:hAnsi="Times New Roman;Times;serif"/>
          <w:color w:val="000000"/>
          <w:sz w:val="20"/>
          <w:u w:val="single"/>
        </w:rPr>
        <w:t>fiverr.com</w:t>
      </w:r>
      <w:r>
        <w:rPr>
          <w:rFonts w:ascii="Times New Roman;Times;serif" w:hAnsi="Times New Roman;Times;serif"/>
          <w:color w:val="000000"/>
          <w:sz w:val="20"/>
        </w:rPr>
        <w:t>. Follow us on </w:t>
      </w:r>
      <w:r>
        <w:rPr>
          <w:rFonts w:ascii="Times New Roman;Times;serif" w:hAnsi="Times New Roman;Times;serif"/>
          <w:color w:val="000000"/>
          <w:sz w:val="20"/>
          <w:u w:val="single"/>
        </w:rPr>
        <w:t>LinkedIn</w:t>
      </w:r>
      <w:r>
        <w:rPr>
          <w:rFonts w:ascii="Times New Roman;Times;serif" w:hAnsi="Times New Roman;Times;serif"/>
          <w:color w:val="000000"/>
          <w:sz w:val="20"/>
        </w:rPr>
        <w:t>, </w:t>
      </w:r>
      <w:r>
        <w:rPr>
          <w:rFonts w:ascii="Times New Roman;Times;serif" w:hAnsi="Times New Roman;Times;serif"/>
          <w:color w:val="000000"/>
          <w:sz w:val="20"/>
          <w:u w:val="single"/>
        </w:rPr>
        <w:t>Instagram</w:t>
      </w:r>
      <w:r>
        <w:rPr>
          <w:rFonts w:ascii="Times New Roman;Times;serif" w:hAnsi="Times New Roman;Times;serif"/>
          <w:color w:val="000000"/>
          <w:sz w:val="20"/>
        </w:rPr>
        <w:t>, </w:t>
      </w:r>
      <w:r>
        <w:rPr>
          <w:rFonts w:ascii="Times New Roman;Times;serif" w:hAnsi="Times New Roman;Times;serif"/>
          <w:color w:val="000000"/>
          <w:sz w:val="20"/>
          <w:u w:val="single"/>
        </w:rPr>
        <w:t>TikTok,</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Facebook</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Steve Rubis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Emily Greenstein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investors@fiverr.com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Press:</w:t>
      </w:r>
      <w:r>
        <w:rPr>
          <w:rFonts w:ascii="Times New Roman;Times;serif" w:hAnsi="Times New Roman;Times;serif"/>
          <w:color w:val="000000"/>
          <w:sz w:val="20"/>
        </w:rPr>
        <w:br/>
        <w:t>Jenny Chang</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Madeleine Bendalin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press@fiverr.com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Source: Fiverr International Ltd.</w:t>
      </w:r>
    </w:p>
    <w:p>
      <w:pPr>
        <w:pStyle w:val="TextBody"/>
        <w:bidi w:val="0"/>
        <w:spacing w:lineRule="auto" w:line="300" w:before="0" w:after="0"/>
        <w:jc w:val="center"/>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38" w:name="z5469329da63745da989235dfa3a1a901"/>
      <w:bookmarkStart w:id="39" w:name="z5469329da63745da989235dfa3a1a901"/>
      <w:bookmarkEnd w:id="39"/>
    </w:p>
    <w:tbl>
      <w:tblPr>
        <w:tblW w:w="9203" w:type="dxa"/>
        <w:jc w:val="left"/>
        <w:tblInd w:w="0" w:type="dxa"/>
        <w:tblLayout w:type="fixed"/>
        <w:tblCellMar>
          <w:top w:w="0" w:type="dxa"/>
          <w:left w:w="0" w:type="dxa"/>
          <w:bottom w:w="0" w:type="dxa"/>
          <w:right w:w="0" w:type="dxa"/>
        </w:tblCellMar>
      </w:tblPr>
      <w:tblGrid>
        <w:gridCol w:w="6215"/>
        <w:gridCol w:w="60"/>
        <w:gridCol w:w="172"/>
        <w:gridCol w:w="1077"/>
        <w:gridCol w:w="95"/>
        <w:gridCol w:w="60"/>
        <w:gridCol w:w="194"/>
        <w:gridCol w:w="1220"/>
        <w:gridCol w:w="110"/>
      </w:tblGrid>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lineRule="auto" w:line="300" w:before="0" w:after="0"/>
              <w:jc w:val="center"/>
              <w:rPr>
                <w:b/>
              </w:rPr>
            </w:pPr>
            <w:r>
              <w:rPr>
                <w:b/>
              </w:rPr>
              <w:t>December 31,</w:t>
            </w:r>
          </w:p>
        </w:tc>
        <w:tc>
          <w:tcPr>
            <w:tcW w:w="110" w:type="dxa"/>
            <w:tcBorders/>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lineRule="auto" w:line="300" w:before="0" w:after="0"/>
              <w:jc w:val="center"/>
              <w:rPr>
                <w:b/>
              </w:rPr>
            </w:pPr>
            <w:r>
              <w:rPr>
                <w:b/>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lineRule="auto" w:line="300" w:before="0" w:after="0"/>
              <w:jc w:val="center"/>
              <w:rPr>
                <w:b/>
              </w:rPr>
            </w:pPr>
            <w:r>
              <w:rPr>
                <w:b/>
              </w:rPr>
              <w:t>(Audited)</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Assets</w:t>
            </w:r>
          </w:p>
        </w:tc>
        <w:tc>
          <w:tcPr>
            <w:tcW w:w="60" w:type="dxa"/>
            <w:tcBorders/>
            <w:shd w:fill="CCEEFF" w:val="clear"/>
            <w:vAlign w:val="bottom"/>
          </w:tcPr>
          <w:p>
            <w:pPr>
              <w:pStyle w:val="TableContents"/>
              <w:bidi w:val="0"/>
              <w:spacing w:before="0" w:after="283"/>
              <w:jc w:val="left"/>
              <w:rPr/>
            </w:pPr>
            <w:r>
              <w:rPr/>
              <w:t> </w:t>
            </w:r>
          </w:p>
        </w:tc>
        <w:tc>
          <w:tcPr>
            <w:tcW w:w="1249"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4" w:type="dxa"/>
            <w:gridSpan w:val="2"/>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jc w:val="left"/>
              <w:rPr/>
            </w:pPr>
            <w:r>
              <w:rPr/>
              <w:t>Current assets:</w:t>
            </w:r>
          </w:p>
        </w:tc>
        <w:tc>
          <w:tcPr>
            <w:tcW w:w="60"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Cash and cash equivalents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lineRule="auto" w:line="300" w:before="0" w:after="0"/>
              <w:jc w:val="left"/>
              <w:rPr/>
            </w:pPr>
            <w:r>
              <w:rPr/>
              <w:t>$</w:t>
            </w:r>
          </w:p>
        </w:tc>
        <w:tc>
          <w:tcPr>
            <w:tcW w:w="1077" w:type="dxa"/>
            <w:tcBorders/>
            <w:shd w:fill="CCEEFF" w:val="clear"/>
            <w:vAlign w:val="bottom"/>
          </w:tcPr>
          <w:p>
            <w:pPr>
              <w:pStyle w:val="TableContents"/>
              <w:bidi w:val="0"/>
              <w:spacing w:lineRule="auto" w:line="300" w:before="0" w:after="0"/>
              <w:jc w:val="right"/>
              <w:rPr/>
            </w:pPr>
            <w:r>
              <w:rPr/>
              <w:t>151,194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lineRule="auto" w:line="300" w:before="0" w:after="0"/>
              <w:jc w:val="left"/>
              <w:rPr/>
            </w:pPr>
            <w:r>
              <w:rPr/>
              <w:t>$</w:t>
            </w:r>
          </w:p>
        </w:tc>
        <w:tc>
          <w:tcPr>
            <w:tcW w:w="1220" w:type="dxa"/>
            <w:tcBorders/>
            <w:shd w:fill="CCEEFF" w:val="clear"/>
            <w:vAlign w:val="bottom"/>
          </w:tcPr>
          <w:p>
            <w:pPr>
              <w:pStyle w:val="TableContents"/>
              <w:bidi w:val="0"/>
              <w:spacing w:lineRule="auto" w:line="300" w:before="0" w:after="0"/>
              <w:jc w:val="right"/>
              <w:rPr/>
            </w:pPr>
            <w:r>
              <w:rPr/>
              <w:t>125,215</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Marketable securities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lineRule="auto" w:line="300" w:before="0" w:after="0"/>
              <w:jc w:val="right"/>
              <w:rPr/>
            </w:pPr>
            <w:r>
              <w:rPr/>
              <w:t>29,099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117,705</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User funds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lineRule="auto" w:line="300" w:before="0" w:after="0"/>
              <w:jc w:val="right"/>
              <w:rPr/>
            </w:pPr>
            <w:r>
              <w:rPr/>
              <w:t>156,422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159,849</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Bank deposits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lineRule="auto" w:line="300" w:before="0" w:after="0"/>
              <w:jc w:val="right"/>
              <w:rPr/>
            </w:pPr>
            <w:r>
              <w:rPr/>
              <w:t>70,000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40,000</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Restricted deposit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lineRule="auto" w:line="300" w:before="0" w:after="0"/>
              <w:jc w:val="right"/>
              <w:rPr/>
            </w:pPr>
            <w:r>
              <w:rPr/>
              <w:t>3,423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3,409</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Other receivables</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7" w:type="dxa"/>
            <w:tcBorders>
              <w:bottom w:val="single" w:sz="12" w:space="0" w:color="000000"/>
            </w:tcBorders>
            <w:tcMar>
              <w:bottom w:w="28" w:type="dxa"/>
            </w:tcMar>
            <w:vAlign w:val="bottom"/>
          </w:tcPr>
          <w:p>
            <w:pPr>
              <w:pStyle w:val="TableContents"/>
              <w:bidi w:val="0"/>
              <w:spacing w:lineRule="auto" w:line="300" w:before="0" w:after="0"/>
              <w:jc w:val="right"/>
              <w:rPr/>
            </w:pPr>
            <w:r>
              <w:rPr/>
              <w:t>37,634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34,465</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Total current assets</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447,772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480,643</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pPr>
            <w:r>
              <w:rPr/>
              <w:t>Long-term assets: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Marketable securities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lineRule="auto" w:line="300" w:before="0" w:after="0"/>
              <w:jc w:val="right"/>
              <w:rPr/>
            </w:pPr>
            <w:r>
              <w:rPr/>
              <w:t>58,244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Property and equipment, net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lineRule="auto" w:line="300" w:before="0" w:after="0"/>
              <w:jc w:val="right"/>
              <w:rPr/>
            </w:pPr>
            <w:r>
              <w:rPr/>
              <w:t>2,892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3,360</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Operating lease right of use asset</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lineRule="auto" w:line="300" w:before="0" w:after="0"/>
              <w:jc w:val="right"/>
              <w:rPr/>
            </w:pPr>
            <w:r>
              <w:rPr/>
              <w:t>2,035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3,513</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Deferred Tax Assets, net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lineRule="auto" w:line="300" w:before="0" w:after="0"/>
              <w:jc w:val="right"/>
              <w:rPr/>
            </w:pPr>
            <w:r>
              <w:rPr/>
              <w:t>28,395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26,423</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Intangible assets, net</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lineRule="auto" w:line="300" w:before="0" w:after="0"/>
              <w:jc w:val="right"/>
              <w:rPr/>
            </w:pPr>
            <w:r>
              <w:rPr/>
              <w:t>30,461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36,554</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Goodwill</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lineRule="auto" w:line="300" w:before="0" w:after="0"/>
              <w:jc w:val="right"/>
              <w:rPr/>
            </w:pPr>
            <w:r>
              <w:rPr/>
              <w:t>126,313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126,313</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Other non-current assets</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7" w:type="dxa"/>
            <w:tcBorders>
              <w:bottom w:val="single" w:sz="12" w:space="0" w:color="000000"/>
            </w:tcBorders>
            <w:tcMar>
              <w:bottom w:w="28" w:type="dxa"/>
            </w:tcMar>
            <w:vAlign w:val="bottom"/>
          </w:tcPr>
          <w:p>
            <w:pPr>
              <w:pStyle w:val="TableContents"/>
              <w:bidi w:val="0"/>
              <w:spacing w:lineRule="auto" w:line="300" w:before="0" w:after="0"/>
              <w:jc w:val="right"/>
              <w:rPr/>
            </w:pPr>
            <w:r>
              <w:rPr/>
              <w:t>4,627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7,795</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Total long-term assets</w:t>
            </w:r>
          </w:p>
        </w:tc>
        <w:tc>
          <w:tcPr>
            <w:tcW w:w="6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7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252,967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203,958</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TOTAL ASSETS</w:t>
            </w:r>
          </w:p>
        </w:tc>
        <w:tc>
          <w:tcPr>
            <w:tcW w:w="6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07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700,739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684,601</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Liabilities and Shareholders' Equity</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jc w:val="left"/>
              <w:rPr/>
            </w:pPr>
            <w:r>
              <w:rPr/>
              <w:t>Current liabilities: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Trade payables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lineRule="auto" w:line="300" w:before="0" w:after="0"/>
              <w:jc w:val="left"/>
              <w:rPr/>
            </w:pPr>
            <w:r>
              <w:rPr/>
              <w:t>$</w:t>
            </w:r>
          </w:p>
        </w:tc>
        <w:tc>
          <w:tcPr>
            <w:tcW w:w="1077" w:type="dxa"/>
            <w:tcBorders/>
            <w:shd w:fill="CCEEFF" w:val="clear"/>
            <w:vAlign w:val="bottom"/>
          </w:tcPr>
          <w:p>
            <w:pPr>
              <w:pStyle w:val="TableContents"/>
              <w:bidi w:val="0"/>
              <w:spacing w:lineRule="auto" w:line="300" w:before="0" w:after="0"/>
              <w:jc w:val="right"/>
              <w:rPr/>
            </w:pPr>
            <w:r>
              <w:rPr/>
              <w:t>12,128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lineRule="auto" w:line="300" w:before="0" w:after="0"/>
              <w:jc w:val="left"/>
              <w:rPr/>
            </w:pPr>
            <w:r>
              <w:rPr/>
              <w:t>$</w:t>
            </w:r>
          </w:p>
        </w:tc>
        <w:tc>
          <w:tcPr>
            <w:tcW w:w="1220" w:type="dxa"/>
            <w:tcBorders/>
            <w:shd w:fill="CCEEFF" w:val="clear"/>
            <w:vAlign w:val="bottom"/>
          </w:tcPr>
          <w:p>
            <w:pPr>
              <w:pStyle w:val="TableContents"/>
              <w:bidi w:val="0"/>
              <w:spacing w:lineRule="auto" w:line="300" w:before="0" w:after="0"/>
              <w:jc w:val="right"/>
              <w:rPr/>
            </w:pPr>
            <w:r>
              <w:rPr/>
              <w:t>9,081</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User accounts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lineRule="auto" w:line="300" w:before="0" w:after="0"/>
              <w:jc w:val="right"/>
              <w:rPr/>
            </w:pPr>
            <w:r>
              <w:rPr/>
              <w:t>146,589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149,454</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Deferred revenue</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lineRule="auto" w:line="300" w:before="0" w:after="0"/>
              <w:jc w:val="right"/>
              <w:rPr/>
            </w:pPr>
            <w:r>
              <w:rPr/>
              <w:t>18,019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18,567</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Other account payables and accrued expenses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lineRule="auto" w:line="300" w:before="0" w:after="0"/>
              <w:jc w:val="right"/>
              <w:rPr/>
            </w:pPr>
            <w:r>
              <w:rPr/>
              <w:t>67,538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68,426</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Operating lease liabilities</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2,162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3,365</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jc w:val="left"/>
              <w:rPr>
                <w:b/>
              </w:rPr>
            </w:pPr>
            <w:r>
              <w:rPr>
                <w:b/>
              </w:rPr>
              <w:t>Total current liabilities</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7" w:type="dxa"/>
            <w:tcBorders>
              <w:bottom w:val="single" w:sz="12" w:space="0" w:color="000000"/>
            </w:tcBorders>
            <w:tcMar>
              <w:bottom w:w="28" w:type="dxa"/>
            </w:tcMar>
            <w:vAlign w:val="bottom"/>
          </w:tcPr>
          <w:p>
            <w:pPr>
              <w:pStyle w:val="TableContents"/>
              <w:bidi w:val="0"/>
              <w:spacing w:lineRule="auto" w:line="300" w:before="0" w:after="0"/>
              <w:jc w:val="right"/>
              <w:rPr/>
            </w:pPr>
            <w:r>
              <w:rPr/>
              <w:t>246,436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248,893</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jc w:val="left"/>
              <w:rPr/>
            </w:pPr>
            <w:r>
              <w:rPr/>
              <w:t>Long-term liabilities: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Operating lease liabilities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lineRule="auto" w:line="300" w:before="0" w:after="0"/>
              <w:jc w:val="right"/>
              <w:rPr/>
            </w:pPr>
            <w:r>
              <w:rPr/>
              <w:t>516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798</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Other non-current liabilities</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7" w:type="dxa"/>
            <w:tcBorders>
              <w:bottom w:val="single" w:sz="12" w:space="0" w:color="000000"/>
            </w:tcBorders>
            <w:tcMar>
              <w:bottom w:w="28" w:type="dxa"/>
            </w:tcMar>
            <w:vAlign w:val="bottom"/>
          </w:tcPr>
          <w:p>
            <w:pPr>
              <w:pStyle w:val="TableContents"/>
              <w:bidi w:val="0"/>
              <w:spacing w:lineRule="auto" w:line="300" w:before="0" w:after="0"/>
              <w:jc w:val="right"/>
              <w:rPr/>
            </w:pPr>
            <w:r>
              <w:rPr/>
              <w:t>16,531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22,926</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Total long-term liabilities</w:t>
            </w:r>
          </w:p>
        </w:tc>
        <w:tc>
          <w:tcPr>
            <w:tcW w:w="6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7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17,047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23,724</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TOTAL LIABILITIES</w:t>
            </w:r>
          </w:p>
        </w:tc>
        <w:tc>
          <w:tcPr>
            <w:tcW w:w="6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07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263,483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272,617</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Shareholders' equity:</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lineRule="auto" w:line="300" w:before="0" w:after="0"/>
              <w:ind w:left="180" w:right="0" w:hanging="0"/>
              <w:jc w:val="left"/>
              <w:rPr/>
            </w:pPr>
            <w:r>
              <w:rPr/>
              <w:t>Share capital and additional paid-in capital</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lineRule="auto" w:line="300" w:before="0" w:after="0"/>
              <w:jc w:val="right"/>
              <w:rPr/>
            </w:pPr>
            <w:r>
              <w:rPr/>
              <w:t>808,858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lineRule="auto" w:line="300" w:before="0" w:after="0"/>
              <w:jc w:val="right"/>
              <w:rPr/>
            </w:pPr>
            <w:r>
              <w:rPr/>
              <w:t>786,195</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ind w:left="180" w:right="0" w:hanging="0"/>
              <w:jc w:val="left"/>
              <w:rPr/>
            </w:pPr>
            <w:r>
              <w:rPr/>
              <w:t>Accumulated deficit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lineRule="auto" w:line="300" w:before="0" w:after="0"/>
              <w:jc w:val="right"/>
              <w:rPr/>
            </w:pPr>
            <w:r>
              <w:rPr/>
              <w:t>(372,723</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lineRule="auto" w:line="300" w:before="0" w:after="0"/>
              <w:jc w:val="right"/>
              <w:rPr/>
            </w:pPr>
            <w:r>
              <w:rPr/>
              <w:t>(377,739</w:t>
            </w:r>
          </w:p>
        </w:tc>
        <w:tc>
          <w:tcPr>
            <w:tcW w:w="110" w:type="dxa"/>
            <w:tcBorders/>
            <w:shd w:fill="CCEEFF" w:val="clear"/>
            <w:vAlign w:val="bottom"/>
          </w:tcPr>
          <w:p>
            <w:pPr>
              <w:pStyle w:val="TableContents"/>
              <w:bidi w:val="0"/>
              <w:spacing w:lineRule="auto" w:line="300" w:before="0" w:after="0"/>
              <w:jc w:val="left"/>
              <w:rPr/>
            </w:pPr>
            <w:r>
              <w:rPr/>
              <w:t>)</w:t>
            </w:r>
          </w:p>
        </w:tc>
      </w:tr>
      <w:tr>
        <w:trPr/>
        <w:tc>
          <w:tcPr>
            <w:tcW w:w="6215" w:type="dxa"/>
            <w:tcBorders/>
            <w:vAlign w:val="bottom"/>
          </w:tcPr>
          <w:p>
            <w:pPr>
              <w:pStyle w:val="TableContents"/>
              <w:bidi w:val="0"/>
              <w:spacing w:lineRule="auto" w:line="300" w:before="0" w:after="0"/>
              <w:ind w:left="180" w:right="0" w:hanging="0"/>
              <w:jc w:val="left"/>
              <w:rPr/>
            </w:pPr>
            <w:r>
              <w:rPr/>
              <w:t>Accumulated other comprehensive income</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7" w:type="dxa"/>
            <w:tcBorders>
              <w:bottom w:val="single" w:sz="12" w:space="0" w:color="000000"/>
            </w:tcBorders>
            <w:tcMar>
              <w:bottom w:w="28" w:type="dxa"/>
            </w:tcMar>
            <w:vAlign w:val="bottom"/>
          </w:tcPr>
          <w:p>
            <w:pPr>
              <w:pStyle w:val="TableContents"/>
              <w:bidi w:val="0"/>
              <w:spacing w:lineRule="auto" w:line="300" w:before="0" w:after="0"/>
              <w:jc w:val="right"/>
              <w:rPr/>
            </w:pPr>
            <w:r>
              <w:rPr/>
              <w:t>1,121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lineRule="auto" w:line="300" w:before="0" w:after="0"/>
              <w:jc w:val="right"/>
              <w:rPr/>
            </w:pPr>
            <w:r>
              <w:rPr/>
              <w:t>3,528</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Total shareholders' equity</w:t>
            </w:r>
          </w:p>
        </w:tc>
        <w:tc>
          <w:tcPr>
            <w:tcW w:w="6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7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437,256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411,984</w:t>
            </w:r>
          </w:p>
        </w:tc>
        <w:tc>
          <w:tcPr>
            <w:tcW w:w="110" w:type="dxa"/>
            <w:tcBorders/>
            <w:shd w:fill="CCEEFF" w:val="clear"/>
            <w:vAlign w:val="bottom"/>
          </w:tcPr>
          <w:p>
            <w:pPr>
              <w:pStyle w:val="TableContents"/>
              <w:bidi w:val="0"/>
              <w:spacing w:before="0" w:after="283"/>
              <w:jc w:val="left"/>
              <w:rPr/>
            </w:pPr>
            <w:r>
              <w:rPr/>
              <w:t> </w:t>
            </w:r>
          </w:p>
        </w:tc>
      </w:tr>
      <w:tr>
        <w:trPr/>
        <w:tc>
          <w:tcPr>
            <w:tcW w:w="6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215" w:type="dxa"/>
            <w:tcBorders/>
            <w:shd w:fill="CCEEFF" w:val="clear"/>
            <w:vAlign w:val="bottom"/>
          </w:tcPr>
          <w:p>
            <w:pPr>
              <w:pStyle w:val="TableContents"/>
              <w:bidi w:val="0"/>
              <w:spacing w:lineRule="auto" w:line="300" w:before="0" w:after="0"/>
              <w:jc w:val="left"/>
              <w:rPr>
                <w:b/>
              </w:rPr>
            </w:pPr>
            <w:r>
              <w:rPr>
                <w:b/>
              </w:rPr>
              <w:t>TOTAL LIABILITIES AND SHAREHOLDERS' EQUITY</w:t>
            </w:r>
          </w:p>
        </w:tc>
        <w:tc>
          <w:tcPr>
            <w:tcW w:w="6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07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700,739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684,601</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 except share and per share data)</w:t>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40" w:name="ze9cb4a3b5a9b4eceb32f8cf9e85df6c6"/>
      <w:bookmarkStart w:id="41" w:name="ze9cb4a3b5a9b4eceb32f8cf9e85df6c6"/>
      <w:bookmarkEnd w:id="41"/>
    </w:p>
    <w:tbl>
      <w:tblPr>
        <w:tblW w:w="10205" w:type="dxa"/>
        <w:jc w:val="left"/>
        <w:tblInd w:w="0" w:type="dxa"/>
        <w:tblLayout w:type="fixed"/>
        <w:tblCellMar>
          <w:top w:w="0" w:type="dxa"/>
          <w:left w:w="0" w:type="dxa"/>
          <w:bottom w:w="0" w:type="dxa"/>
          <w:right w:w="0" w:type="dxa"/>
        </w:tblCellMar>
      </w:tblPr>
      <w:tblGrid>
        <w:gridCol w:w="4586"/>
        <w:gridCol w:w="60"/>
        <w:gridCol w:w="140"/>
        <w:gridCol w:w="1105"/>
        <w:gridCol w:w="95"/>
        <w:gridCol w:w="60"/>
        <w:gridCol w:w="140"/>
        <w:gridCol w:w="1105"/>
        <w:gridCol w:w="95"/>
        <w:gridCol w:w="60"/>
        <w:gridCol w:w="140"/>
        <w:gridCol w:w="1105"/>
        <w:gridCol w:w="95"/>
        <w:gridCol w:w="60"/>
        <w:gridCol w:w="140"/>
        <w:gridCol w:w="1105"/>
        <w:gridCol w:w="114"/>
      </w:tblGrid>
      <w:tr>
        <w:trPr/>
        <w:tc>
          <w:tcPr>
            <w:tcW w:w="45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5" w:type="dxa"/>
            <w:gridSpan w:val="6"/>
            <w:tcBorders/>
            <w:vAlign w:val="bottom"/>
          </w:tcPr>
          <w:p>
            <w:pPr>
              <w:pStyle w:val="TableContents"/>
              <w:bidi w:val="0"/>
              <w:spacing w:lineRule="auto" w:line="300" w:before="0" w:after="0"/>
              <w:jc w:val="center"/>
              <w:rPr>
                <w:b/>
              </w:rPr>
            </w:pPr>
            <w:r>
              <w:rPr>
                <w:b/>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5" w:type="dxa"/>
            <w:gridSpan w:val="6"/>
            <w:tcBorders/>
            <w:vAlign w:val="bottom"/>
          </w:tcPr>
          <w:p>
            <w:pPr>
              <w:pStyle w:val="TableContents"/>
              <w:bidi w:val="0"/>
              <w:spacing w:lineRule="auto" w:line="300" w:before="0" w:after="0"/>
              <w:jc w:val="center"/>
              <w:rPr>
                <w:b/>
              </w:rPr>
            </w:pPr>
            <w:r>
              <w:rPr>
                <w:b/>
              </w:rPr>
              <w:t>Six Months Ended</w:t>
            </w:r>
          </w:p>
        </w:tc>
        <w:tc>
          <w:tcPr>
            <w:tcW w:w="114" w:type="dxa"/>
            <w:tcBorders/>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4" w:type="dxa"/>
            <w:tcBorders/>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4" w:type="dxa"/>
            <w:tcBorders/>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lineRule="auto" w:line="300" w:before="0" w:after="0"/>
              <w:jc w:val="center"/>
              <w:rPr>
                <w:b/>
              </w:rPr>
            </w:pPr>
            <w:r>
              <w:rPr>
                <w:b/>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lineRule="auto" w:line="300" w:before="0" w:after="0"/>
              <w:jc w:val="center"/>
              <w:rPr>
                <w:b/>
              </w:rPr>
            </w:pPr>
            <w:r>
              <w:rPr>
                <w:b/>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lineRule="auto" w:line="300" w:before="0" w:after="0"/>
              <w:jc w:val="center"/>
              <w:rPr>
                <w:b/>
              </w:rPr>
            </w:pPr>
            <w:r>
              <w:rPr>
                <w:b/>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lineRule="auto" w:line="300" w:before="0" w:after="0"/>
              <w:jc w:val="center"/>
              <w:rPr>
                <w:b/>
              </w:rPr>
            </w:pPr>
            <w:r>
              <w:rPr>
                <w:b/>
              </w:rPr>
              <w:t>(Unaudited)</w:t>
            </w:r>
          </w:p>
        </w:tc>
        <w:tc>
          <w:tcPr>
            <w:tcW w:w="114" w:type="dxa"/>
            <w:tcBorders/>
            <w:vAlign w:val="bottom"/>
          </w:tcPr>
          <w:p>
            <w:pPr>
              <w:pStyle w:val="TableContents"/>
              <w:bidi w:val="0"/>
              <w:spacing w:before="0" w:after="283"/>
              <w:jc w:val="left"/>
              <w:rPr/>
            </w:pPr>
            <w:r>
              <w:rPr/>
              <w:t> </w:t>
            </w:r>
          </w:p>
        </w:tc>
      </w:tr>
      <w:tr>
        <w:trPr/>
        <w:tc>
          <w:tcPr>
            <w:tcW w:w="4586" w:type="dxa"/>
            <w:tcBorders/>
            <w:shd w:fill="CCEEFF" w:val="clear"/>
            <w:vAlign w:val="bottom"/>
          </w:tcPr>
          <w:p>
            <w:pPr>
              <w:pStyle w:val="TableContents"/>
              <w:bidi w:val="0"/>
              <w:spacing w:lineRule="auto" w:line="300" w:before="0" w:after="0"/>
              <w:jc w:val="left"/>
              <w:rPr/>
            </w:pPr>
            <w:r>
              <w:rPr/>
              <w:t xml:space="preserve">Revenue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5" w:type="dxa"/>
            <w:tcBorders/>
            <w:shd w:fill="CCEEFF" w:val="clear"/>
            <w:vAlign w:val="bottom"/>
          </w:tcPr>
          <w:p>
            <w:pPr>
              <w:pStyle w:val="TableContents"/>
              <w:bidi w:val="0"/>
              <w:spacing w:lineRule="auto" w:line="300" w:before="0" w:after="0"/>
              <w:jc w:val="right"/>
              <w:rPr/>
            </w:pPr>
            <w:r>
              <w:rPr/>
              <w:t>97,783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5" w:type="dxa"/>
            <w:tcBorders/>
            <w:shd w:fill="CCEEFF" w:val="clear"/>
            <w:vAlign w:val="bottom"/>
          </w:tcPr>
          <w:p>
            <w:pPr>
              <w:pStyle w:val="TableContents"/>
              <w:bidi w:val="0"/>
              <w:spacing w:lineRule="auto" w:line="300" w:before="0" w:after="0"/>
              <w:jc w:val="right"/>
              <w:rPr/>
            </w:pPr>
            <w:r>
              <w:rPr/>
              <w:t>108,648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5" w:type="dxa"/>
            <w:tcBorders/>
            <w:shd w:fill="CCEEFF" w:val="clear"/>
            <w:vAlign w:val="bottom"/>
          </w:tcPr>
          <w:p>
            <w:pPr>
              <w:pStyle w:val="TableContents"/>
              <w:bidi w:val="0"/>
              <w:spacing w:lineRule="auto" w:line="300" w:before="0" w:after="0"/>
              <w:jc w:val="right"/>
              <w:rPr/>
            </w:pPr>
            <w:r>
              <w:rPr/>
              <w:t>203,274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5" w:type="dxa"/>
            <w:tcBorders/>
            <w:shd w:fill="CCEEFF" w:val="clear"/>
            <w:vAlign w:val="bottom"/>
          </w:tcPr>
          <w:p>
            <w:pPr>
              <w:pStyle w:val="TableContents"/>
              <w:bidi w:val="0"/>
              <w:spacing w:lineRule="auto" w:line="300" w:before="0" w:after="0"/>
              <w:jc w:val="right"/>
              <w:rPr/>
            </w:pPr>
            <w:r>
              <w:rPr/>
              <w:t>215,832</w:t>
            </w:r>
          </w:p>
        </w:tc>
        <w:tc>
          <w:tcPr>
            <w:tcW w:w="114" w:type="dxa"/>
            <w:tcBorders/>
            <w:shd w:fill="CCEEFF" w:val="clear"/>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lineRule="auto" w:line="300" w:before="0" w:after="0"/>
              <w:jc w:val="left"/>
              <w:rPr/>
            </w:pPr>
            <w:r>
              <w:rPr/>
              <w:t xml:space="preserve">Cost of revenue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17,852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20,384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36,685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40,780</w:t>
            </w:r>
          </w:p>
        </w:tc>
        <w:tc>
          <w:tcPr>
            <w:tcW w:w="114" w:type="dxa"/>
            <w:tcBorders/>
            <w:vAlign w:val="bottom"/>
          </w:tcPr>
          <w:p>
            <w:pPr>
              <w:pStyle w:val="TableContents"/>
              <w:bidi w:val="0"/>
              <w:spacing w:before="0" w:after="283"/>
              <w:jc w:val="left"/>
              <w:rPr/>
            </w:pPr>
            <w:r>
              <w:rPr/>
              <w:t> </w:t>
            </w:r>
          </w:p>
        </w:tc>
      </w:tr>
      <w:tr>
        <w:trPr/>
        <w:tc>
          <w:tcPr>
            <w:tcW w:w="4586" w:type="dxa"/>
            <w:tcBorders/>
            <w:shd w:fill="CCEEFF" w:val="clear"/>
            <w:vAlign w:val="bottom"/>
          </w:tcPr>
          <w:p>
            <w:pPr>
              <w:pStyle w:val="TableContents"/>
              <w:bidi w:val="0"/>
              <w:spacing w:lineRule="auto" w:line="300" w:before="0" w:after="0"/>
              <w:jc w:val="left"/>
              <w:rPr/>
            </w:pPr>
            <w:r>
              <w:rPr/>
              <w:t xml:space="preserve">Gross profit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lineRule="auto" w:line="300" w:before="0" w:after="0"/>
              <w:jc w:val="right"/>
              <w:rPr/>
            </w:pPr>
            <w:r>
              <w:rPr/>
              <w:t>79,931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lineRule="auto" w:line="300" w:before="0" w:after="0"/>
              <w:jc w:val="right"/>
              <w:rPr/>
            </w:pPr>
            <w:r>
              <w:rPr/>
              <w:t>88,264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lineRule="auto" w:line="300" w:before="0" w:after="0"/>
              <w:jc w:val="right"/>
              <w:rPr/>
            </w:pPr>
            <w:r>
              <w:rPr/>
              <w:t>166,589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lineRule="auto" w:line="300" w:before="0" w:after="0"/>
              <w:jc w:val="right"/>
              <w:rPr/>
            </w:pPr>
            <w:r>
              <w:rPr/>
              <w:t>175,052</w:t>
            </w:r>
          </w:p>
        </w:tc>
        <w:tc>
          <w:tcPr>
            <w:tcW w:w="114" w:type="dxa"/>
            <w:tcBorders/>
            <w:shd w:fill="CCEEFF" w:val="clear"/>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4586" w:type="dxa"/>
            <w:tcBorders/>
            <w:shd w:fill="CCEEFF" w:val="clear"/>
            <w:vAlign w:val="bottom"/>
          </w:tcPr>
          <w:p>
            <w:pPr>
              <w:pStyle w:val="TableContents"/>
              <w:bidi w:val="0"/>
              <w:spacing w:lineRule="auto" w:line="300" w:before="0" w:after="0"/>
              <w:jc w:val="left"/>
              <w:rPr/>
            </w:pPr>
            <w:r>
              <w:rPr/>
              <w:t>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lineRule="auto" w:line="300" w:before="0" w:after="0"/>
              <w:jc w:val="left"/>
              <w:rPr/>
            </w:pPr>
            <w:r>
              <w:rPr/>
              <w:t xml:space="preserve">Research and development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18,627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23,994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36,688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47,621</w:t>
            </w:r>
          </w:p>
        </w:tc>
        <w:tc>
          <w:tcPr>
            <w:tcW w:w="114" w:type="dxa"/>
            <w:tcBorders/>
            <w:vAlign w:val="bottom"/>
          </w:tcPr>
          <w:p>
            <w:pPr>
              <w:pStyle w:val="TableContents"/>
              <w:bidi w:val="0"/>
              <w:spacing w:before="0" w:after="283"/>
              <w:jc w:val="left"/>
              <w:rPr/>
            </w:pPr>
            <w:r>
              <w:rPr/>
              <w:t> </w:t>
            </w:r>
          </w:p>
        </w:tc>
      </w:tr>
      <w:tr>
        <w:trPr/>
        <w:tc>
          <w:tcPr>
            <w:tcW w:w="4586" w:type="dxa"/>
            <w:tcBorders/>
            <w:shd w:fill="CCEEFF" w:val="clear"/>
            <w:vAlign w:val="bottom"/>
          </w:tcPr>
          <w:p>
            <w:pPr>
              <w:pStyle w:val="TableContents"/>
              <w:bidi w:val="0"/>
              <w:spacing w:lineRule="auto" w:line="300" w:before="0" w:after="0"/>
              <w:jc w:val="left"/>
              <w:rPr/>
            </w:pPr>
            <w:r>
              <w:rPr/>
              <w:t xml:space="preserve">Sales and marketing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lineRule="auto" w:line="300" w:before="0" w:after="0"/>
              <w:jc w:val="right"/>
              <w:rPr/>
            </w:pPr>
            <w:r>
              <w:rPr/>
              <w:t>41,515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lineRule="auto" w:line="300" w:before="0" w:after="0"/>
              <w:jc w:val="right"/>
              <w:rPr/>
            </w:pPr>
            <w:r>
              <w:rPr/>
              <w:t>44,844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lineRule="auto" w:line="300" w:before="0" w:after="0"/>
              <w:jc w:val="right"/>
              <w:rPr/>
            </w:pPr>
            <w:r>
              <w:rPr/>
              <w:t>87,094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lineRule="auto" w:line="300" w:before="0" w:after="0"/>
              <w:jc w:val="right"/>
              <w:rPr/>
            </w:pPr>
            <w:r>
              <w:rPr/>
              <w:t>92,234</w:t>
            </w:r>
          </w:p>
        </w:tc>
        <w:tc>
          <w:tcPr>
            <w:tcW w:w="114" w:type="dxa"/>
            <w:tcBorders/>
            <w:shd w:fill="CCEEFF" w:val="clear"/>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lineRule="auto" w:line="300" w:before="0" w:after="0"/>
              <w:jc w:val="left"/>
              <w:rPr/>
            </w:pPr>
            <w:r>
              <w:rPr/>
              <w:t xml:space="preserve">General and administrative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15,409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21,415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29,932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42,381</w:t>
            </w:r>
          </w:p>
        </w:tc>
        <w:tc>
          <w:tcPr>
            <w:tcW w:w="114" w:type="dxa"/>
            <w:tcBorders/>
            <w:vAlign w:val="bottom"/>
          </w:tcPr>
          <w:p>
            <w:pPr>
              <w:pStyle w:val="TableContents"/>
              <w:bidi w:val="0"/>
              <w:spacing w:before="0" w:after="283"/>
              <w:jc w:val="left"/>
              <w:rPr/>
            </w:pPr>
            <w:r>
              <w:rPr/>
              <w:t> </w:t>
            </w:r>
          </w:p>
        </w:tc>
      </w:tr>
      <w:tr>
        <w:trPr/>
        <w:tc>
          <w:tcPr>
            <w:tcW w:w="4586" w:type="dxa"/>
            <w:tcBorders/>
            <w:shd w:fill="CCEEFF" w:val="clear"/>
            <w:vAlign w:val="bottom"/>
          </w:tcPr>
          <w:p>
            <w:pPr>
              <w:pStyle w:val="TableContents"/>
              <w:bidi w:val="0"/>
              <w:spacing w:lineRule="auto" w:line="300" w:before="0" w:after="0"/>
              <w:jc w:val="left"/>
              <w:rPr/>
            </w:pPr>
            <w:r>
              <w:rPr/>
              <w:t xml:space="preserve">Total operating expenses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75,551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90,253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153,714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182,236</w:t>
            </w:r>
          </w:p>
        </w:tc>
        <w:tc>
          <w:tcPr>
            <w:tcW w:w="114" w:type="dxa"/>
            <w:tcBorders/>
            <w:shd w:fill="CCEEFF" w:val="clear"/>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lineRule="auto" w:line="300" w:before="0" w:after="0"/>
              <w:jc w:val="left"/>
              <w:rPr/>
            </w:pPr>
            <w:r>
              <w:rPr/>
              <w:t>Operating income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4,380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(1,989</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12,875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(7,184</w:t>
            </w:r>
          </w:p>
        </w:tc>
        <w:tc>
          <w:tcPr>
            <w:tcW w:w="114" w:type="dxa"/>
            <w:tcBorders/>
            <w:vAlign w:val="bottom"/>
          </w:tcPr>
          <w:p>
            <w:pPr>
              <w:pStyle w:val="TableContents"/>
              <w:bidi w:val="0"/>
              <w:spacing w:lineRule="auto" w:line="300" w:before="0" w:after="0"/>
              <w:jc w:val="left"/>
              <w:rPr/>
            </w:pPr>
            <w:r>
              <w:rPr/>
              <w:t>)</w:t>
            </w:r>
          </w:p>
        </w:tc>
      </w:tr>
      <w:tr>
        <w:trPr/>
        <w:tc>
          <w:tcPr>
            <w:tcW w:w="4586" w:type="dxa"/>
            <w:tcBorders/>
            <w:shd w:fill="CCEEFF" w:val="clear"/>
            <w:vAlign w:val="bottom"/>
          </w:tcPr>
          <w:p>
            <w:pPr>
              <w:pStyle w:val="TableContents"/>
              <w:bidi w:val="0"/>
              <w:spacing w:lineRule="auto" w:line="300" w:before="0" w:after="0"/>
              <w:jc w:val="left"/>
              <w:rPr/>
            </w:pPr>
            <w:r>
              <w:rPr/>
              <w:t>Financial income and other,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1,646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6,554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3,609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13,879</w:t>
            </w:r>
          </w:p>
        </w:tc>
        <w:tc>
          <w:tcPr>
            <w:tcW w:w="114" w:type="dxa"/>
            <w:tcBorders/>
            <w:shd w:fill="CCEEFF" w:val="clear"/>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lineRule="auto" w:line="300" w:before="0" w:after="0"/>
              <w:jc w:val="left"/>
              <w:rPr/>
            </w:pPr>
            <w:r>
              <w:rPr/>
              <w:t>Income before taxes on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6,026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4,565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16,484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lineRule="auto" w:line="300" w:before="0" w:after="0"/>
              <w:jc w:val="right"/>
              <w:rPr/>
            </w:pPr>
            <w:r>
              <w:rPr/>
              <w:t>6,695</w:t>
            </w:r>
          </w:p>
        </w:tc>
        <w:tc>
          <w:tcPr>
            <w:tcW w:w="114" w:type="dxa"/>
            <w:tcBorders/>
            <w:vAlign w:val="bottom"/>
          </w:tcPr>
          <w:p>
            <w:pPr>
              <w:pStyle w:val="TableContents"/>
              <w:bidi w:val="0"/>
              <w:spacing w:before="0" w:after="283"/>
              <w:jc w:val="left"/>
              <w:rPr/>
            </w:pPr>
            <w:r>
              <w:rPr/>
              <w:t> </w:t>
            </w:r>
          </w:p>
        </w:tc>
      </w:tr>
      <w:tr>
        <w:trPr/>
        <w:tc>
          <w:tcPr>
            <w:tcW w:w="4586" w:type="dxa"/>
            <w:tcBorders/>
            <w:shd w:fill="CCEEFF" w:val="clear"/>
            <w:vAlign w:val="bottom"/>
          </w:tcPr>
          <w:p>
            <w:pPr>
              <w:pStyle w:val="TableContents"/>
              <w:bidi w:val="0"/>
              <w:spacing w:lineRule="auto" w:line="300" w:before="0" w:after="0"/>
              <w:jc w:val="left"/>
              <w:rPr/>
            </w:pPr>
            <w:r>
              <w:rPr/>
              <w:t>Taxes on income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(1,557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(1,377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(3,451</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(2,709</w:t>
            </w:r>
          </w:p>
        </w:tc>
        <w:tc>
          <w:tcPr>
            <w:tcW w:w="114" w:type="dxa"/>
            <w:tcBorders/>
            <w:shd w:fill="CCEEFF" w:val="clear"/>
            <w:vAlign w:val="bottom"/>
          </w:tcPr>
          <w:p>
            <w:pPr>
              <w:pStyle w:val="TableContents"/>
              <w:bidi w:val="0"/>
              <w:spacing w:lineRule="auto" w:line="300" w:before="0" w:after="0"/>
              <w:jc w:val="left"/>
              <w:rPr/>
            </w:pPr>
            <w:r>
              <w:rPr/>
              <w:t>)</w:t>
            </w:r>
          </w:p>
        </w:tc>
      </w:tr>
      <w:tr>
        <w:trPr/>
        <w:tc>
          <w:tcPr>
            <w:tcW w:w="4586" w:type="dxa"/>
            <w:tcBorders/>
            <w:vAlign w:val="bottom"/>
          </w:tcPr>
          <w:p>
            <w:pPr>
              <w:pStyle w:val="TableContents"/>
              <w:bidi w:val="0"/>
              <w:spacing w:lineRule="auto" w:line="300" w:before="0" w:after="0"/>
              <w:jc w:val="left"/>
              <w:rPr/>
            </w:pPr>
            <w:r>
              <w:rPr/>
              <w:t>Net income attributable to ordinary shareholders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05" w:type="dxa"/>
            <w:tcBorders>
              <w:bottom w:val="double" w:sz="8" w:space="0" w:color="000000"/>
            </w:tcBorders>
            <w:tcMar>
              <w:bottom w:w="28" w:type="dxa"/>
            </w:tcMar>
            <w:vAlign w:val="bottom"/>
          </w:tcPr>
          <w:p>
            <w:pPr>
              <w:pStyle w:val="TableContents"/>
              <w:bidi w:val="0"/>
              <w:spacing w:lineRule="auto" w:line="300" w:before="0" w:after="0"/>
              <w:jc w:val="right"/>
              <w:rPr/>
            </w:pPr>
            <w:r>
              <w:rPr/>
              <w:t>4,469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05" w:type="dxa"/>
            <w:tcBorders>
              <w:bottom w:val="double" w:sz="8" w:space="0" w:color="000000"/>
            </w:tcBorders>
            <w:tcMar>
              <w:bottom w:w="28" w:type="dxa"/>
            </w:tcMar>
            <w:vAlign w:val="bottom"/>
          </w:tcPr>
          <w:p>
            <w:pPr>
              <w:pStyle w:val="TableContents"/>
              <w:bidi w:val="0"/>
              <w:spacing w:lineRule="auto" w:line="300" w:before="0" w:after="0"/>
              <w:jc w:val="right"/>
              <w:rPr/>
            </w:pPr>
            <w:r>
              <w:rPr/>
              <w:t>3,188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05" w:type="dxa"/>
            <w:tcBorders>
              <w:bottom w:val="double" w:sz="8" w:space="0" w:color="000000"/>
            </w:tcBorders>
            <w:tcMar>
              <w:bottom w:w="28" w:type="dxa"/>
            </w:tcMar>
            <w:vAlign w:val="bottom"/>
          </w:tcPr>
          <w:p>
            <w:pPr>
              <w:pStyle w:val="TableContents"/>
              <w:bidi w:val="0"/>
              <w:spacing w:lineRule="auto" w:line="300" w:before="0" w:after="0"/>
              <w:jc w:val="right"/>
              <w:rPr/>
            </w:pPr>
            <w:r>
              <w:rPr/>
              <w:t>13,033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05" w:type="dxa"/>
            <w:tcBorders>
              <w:bottom w:val="double" w:sz="8" w:space="0" w:color="000000"/>
            </w:tcBorders>
            <w:tcMar>
              <w:bottom w:w="28" w:type="dxa"/>
            </w:tcMar>
            <w:vAlign w:val="bottom"/>
          </w:tcPr>
          <w:p>
            <w:pPr>
              <w:pStyle w:val="TableContents"/>
              <w:bidi w:val="0"/>
              <w:spacing w:lineRule="auto" w:line="300" w:before="0" w:after="0"/>
              <w:jc w:val="right"/>
              <w:rPr/>
            </w:pPr>
            <w:r>
              <w:rPr/>
              <w:t>3,986</w:t>
            </w:r>
          </w:p>
        </w:tc>
        <w:tc>
          <w:tcPr>
            <w:tcW w:w="114" w:type="dxa"/>
            <w:tcBorders/>
            <w:vAlign w:val="bottom"/>
          </w:tcPr>
          <w:p>
            <w:pPr>
              <w:pStyle w:val="TableContents"/>
              <w:bidi w:val="0"/>
              <w:spacing w:before="0" w:after="283"/>
              <w:jc w:val="left"/>
              <w:rPr/>
            </w:pPr>
            <w:r>
              <w:rPr/>
              <w:t> </w:t>
            </w:r>
          </w:p>
        </w:tc>
      </w:tr>
      <w:tr>
        <w:trPr/>
        <w:tc>
          <w:tcPr>
            <w:tcW w:w="4586" w:type="dxa"/>
            <w:tcBorders/>
            <w:shd w:fill="CCEEFF" w:val="clear"/>
            <w:vAlign w:val="bottom"/>
          </w:tcPr>
          <w:p>
            <w:pPr>
              <w:pStyle w:val="TableContents"/>
              <w:bidi w:val="0"/>
              <w:spacing w:lineRule="auto" w:line="300" w:before="0" w:after="0"/>
              <w:jc w:val="left"/>
              <w:rPr/>
            </w:pPr>
            <w:r>
              <w:rPr/>
              <w:t xml:space="preserve">Basic net income per share attributable to ordinary shareholders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0.11</w:t>
            </w:r>
          </w:p>
        </w:tc>
        <w:tc>
          <w:tcPr>
            <w:tcW w:w="114" w:type="dxa"/>
            <w:tcBorders/>
            <w:shd w:fill="CCEEFF" w:val="clear"/>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lineRule="auto" w:line="300" w:before="0" w:after="0"/>
              <w:jc w:val="left"/>
              <w:rPr/>
            </w:pPr>
            <w:r>
              <w:rPr/>
              <w:t xml:space="preserve">Basic weighted average ordinary shares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36,313,450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36,585,998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36,112,297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5" w:type="dxa"/>
            <w:tcBorders>
              <w:bottom w:val="single" w:sz="12" w:space="0" w:color="000000"/>
            </w:tcBorders>
            <w:tcMar>
              <w:bottom w:w="28" w:type="dxa"/>
            </w:tcMar>
            <w:vAlign w:val="bottom"/>
          </w:tcPr>
          <w:p>
            <w:pPr>
              <w:pStyle w:val="TableContents"/>
              <w:bidi w:val="0"/>
              <w:spacing w:lineRule="auto" w:line="300" w:before="0" w:after="0"/>
              <w:jc w:val="right"/>
              <w:rPr/>
            </w:pPr>
            <w:r>
              <w:rPr/>
              <w:t>36,523,934</w:t>
            </w:r>
          </w:p>
        </w:tc>
        <w:tc>
          <w:tcPr>
            <w:tcW w:w="114" w:type="dxa"/>
            <w:tcBorders/>
            <w:vAlign w:val="bottom"/>
          </w:tcPr>
          <w:p>
            <w:pPr>
              <w:pStyle w:val="TableContents"/>
              <w:bidi w:val="0"/>
              <w:spacing w:before="0" w:after="283"/>
              <w:jc w:val="left"/>
              <w:rPr/>
            </w:pPr>
            <w:r>
              <w:rPr/>
              <w:t> </w:t>
            </w:r>
          </w:p>
        </w:tc>
      </w:tr>
      <w:tr>
        <w:trPr/>
        <w:tc>
          <w:tcPr>
            <w:tcW w:w="4586" w:type="dxa"/>
            <w:tcBorders/>
            <w:shd w:fill="CCEEFF" w:val="clear"/>
            <w:vAlign w:val="bottom"/>
          </w:tcPr>
          <w:p>
            <w:pPr>
              <w:pStyle w:val="TableContents"/>
              <w:bidi w:val="0"/>
              <w:spacing w:lineRule="auto" w:line="300" w:before="0" w:after="0"/>
              <w:jc w:val="left"/>
              <w:rPr/>
            </w:pPr>
            <w:r>
              <w:rPr/>
              <w:t xml:space="preserve">Diluted net income per share attributable to ordinary shareholders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0.11</w:t>
            </w:r>
          </w:p>
        </w:tc>
        <w:tc>
          <w:tcPr>
            <w:tcW w:w="114" w:type="dxa"/>
            <w:tcBorders/>
            <w:shd w:fill="CCEEFF" w:val="clear"/>
            <w:vAlign w:val="bottom"/>
          </w:tcPr>
          <w:p>
            <w:pPr>
              <w:pStyle w:val="TableContents"/>
              <w:bidi w:val="0"/>
              <w:spacing w:before="0" w:after="283"/>
              <w:jc w:val="left"/>
              <w:rPr/>
            </w:pPr>
            <w:r>
              <w:rPr/>
              <w:t> </w:t>
            </w:r>
          </w:p>
        </w:tc>
      </w:tr>
      <w:tr>
        <w:trPr/>
        <w:tc>
          <w:tcPr>
            <w:tcW w:w="4586" w:type="dxa"/>
            <w:tcBorders/>
            <w:vAlign w:val="bottom"/>
          </w:tcPr>
          <w:p>
            <w:pPr>
              <w:pStyle w:val="TableContents"/>
              <w:bidi w:val="0"/>
              <w:spacing w:lineRule="auto" w:line="300" w:before="0" w:after="0"/>
              <w:jc w:val="left"/>
              <w:rPr/>
            </w:pPr>
            <w:r>
              <w:rPr/>
              <w:t xml:space="preserve">Diluted weighted average ordinary shares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5" w:type="dxa"/>
            <w:tcBorders>
              <w:bottom w:val="double" w:sz="8" w:space="0" w:color="000000"/>
            </w:tcBorders>
            <w:tcMar>
              <w:bottom w:w="28" w:type="dxa"/>
            </w:tcMar>
            <w:vAlign w:val="bottom"/>
          </w:tcPr>
          <w:p>
            <w:pPr>
              <w:pStyle w:val="TableContents"/>
              <w:bidi w:val="0"/>
              <w:spacing w:lineRule="auto" w:line="300" w:before="0" w:after="0"/>
              <w:jc w:val="right"/>
              <w:rPr/>
            </w:pPr>
            <w:r>
              <w:rPr/>
              <w:t>36,558,208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5" w:type="dxa"/>
            <w:tcBorders>
              <w:bottom w:val="double" w:sz="8" w:space="0" w:color="000000"/>
            </w:tcBorders>
            <w:tcMar>
              <w:bottom w:w="28" w:type="dxa"/>
            </w:tcMar>
            <w:vAlign w:val="bottom"/>
          </w:tcPr>
          <w:p>
            <w:pPr>
              <w:pStyle w:val="TableContents"/>
              <w:bidi w:val="0"/>
              <w:spacing w:lineRule="auto" w:line="300" w:before="0" w:after="0"/>
              <w:jc w:val="right"/>
              <w:rPr/>
            </w:pPr>
            <w:r>
              <w:rPr/>
              <w:t>37,499,304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5" w:type="dxa"/>
            <w:tcBorders>
              <w:bottom w:val="double" w:sz="8" w:space="0" w:color="000000"/>
            </w:tcBorders>
            <w:tcMar>
              <w:bottom w:w="28" w:type="dxa"/>
            </w:tcMar>
            <w:vAlign w:val="bottom"/>
          </w:tcPr>
          <w:p>
            <w:pPr>
              <w:pStyle w:val="TableContents"/>
              <w:bidi w:val="0"/>
              <w:spacing w:lineRule="auto" w:line="300" w:before="0" w:after="0"/>
              <w:jc w:val="right"/>
              <w:rPr/>
            </w:pPr>
            <w:r>
              <w:rPr/>
              <w:t>36,549,605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5" w:type="dxa"/>
            <w:tcBorders>
              <w:bottom w:val="double" w:sz="8" w:space="0" w:color="000000"/>
            </w:tcBorders>
            <w:tcMar>
              <w:bottom w:w="28" w:type="dxa"/>
            </w:tcMar>
            <w:vAlign w:val="bottom"/>
          </w:tcPr>
          <w:p>
            <w:pPr>
              <w:pStyle w:val="TableContents"/>
              <w:bidi w:val="0"/>
              <w:spacing w:lineRule="auto" w:line="300" w:before="0" w:after="0"/>
              <w:jc w:val="right"/>
              <w:rPr/>
            </w:pPr>
            <w:r>
              <w:rPr/>
              <w:t>37,617,438</w:t>
            </w:r>
          </w:p>
        </w:tc>
        <w:tc>
          <w:tcPr>
            <w:tcW w:w="114"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CASH FLOWS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left"/>
        <w:rPr>
          <w:color w:val="000000"/>
        </w:rPr>
      </w:pPr>
      <w:r>
        <w:rPr>
          <w:color w:val="000000"/>
        </w:rPr>
        <w:t> </w:t>
      </w:r>
      <w:bookmarkStart w:id="42" w:name="ze287234df7a9438ea228eb0dc081696d"/>
      <w:bookmarkEnd w:id="42"/>
    </w:p>
    <w:tbl>
      <w:tblPr>
        <w:tblW w:w="10205" w:type="dxa"/>
        <w:jc w:val="left"/>
        <w:tblInd w:w="0" w:type="dxa"/>
        <w:tblLayout w:type="fixed"/>
        <w:tblCellMar>
          <w:top w:w="0" w:type="dxa"/>
          <w:left w:w="0" w:type="dxa"/>
          <w:bottom w:w="0" w:type="dxa"/>
          <w:right w:w="0" w:type="dxa"/>
        </w:tblCellMar>
      </w:tblPr>
      <w:tblGrid>
        <w:gridCol w:w="5709"/>
        <w:gridCol w:w="60"/>
        <w:gridCol w:w="146"/>
        <w:gridCol w:w="839"/>
        <w:gridCol w:w="99"/>
        <w:gridCol w:w="62"/>
        <w:gridCol w:w="146"/>
        <w:gridCol w:w="839"/>
        <w:gridCol w:w="95"/>
        <w:gridCol w:w="60"/>
        <w:gridCol w:w="140"/>
        <w:gridCol w:w="800"/>
        <w:gridCol w:w="95"/>
        <w:gridCol w:w="60"/>
        <w:gridCol w:w="140"/>
        <w:gridCol w:w="800"/>
        <w:gridCol w:w="115"/>
      </w:tblGrid>
      <w:tr>
        <w:trPr/>
        <w:tc>
          <w:tcPr>
            <w:tcW w:w="57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1" w:type="dxa"/>
            <w:gridSpan w:val="6"/>
            <w:tcBorders/>
            <w:vAlign w:val="bottom"/>
          </w:tcPr>
          <w:p>
            <w:pPr>
              <w:pStyle w:val="TableContents"/>
              <w:bidi w:val="0"/>
              <w:spacing w:lineRule="auto" w:line="300" w:before="0" w:after="0"/>
              <w:jc w:val="center"/>
              <w:rPr>
                <w:b/>
              </w:rPr>
            </w:pPr>
            <w:r>
              <w:rPr>
                <w:b/>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5" w:type="dxa"/>
            <w:gridSpan w:val="6"/>
            <w:tcBorders/>
            <w:vAlign w:val="bottom"/>
          </w:tcPr>
          <w:p>
            <w:pPr>
              <w:pStyle w:val="TableContents"/>
              <w:bidi w:val="0"/>
              <w:spacing w:lineRule="auto" w:line="300" w:before="0" w:after="0"/>
              <w:jc w:val="center"/>
              <w:rPr>
                <w:b/>
              </w:rPr>
            </w:pPr>
            <w:r>
              <w:rPr>
                <w:b/>
              </w:rPr>
              <w:t>Six Months Ended</w:t>
            </w:r>
          </w:p>
        </w:tc>
        <w:tc>
          <w:tcPr>
            <w:tcW w:w="115" w:type="dxa"/>
            <w:tcBorders/>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1"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5" w:type="dxa"/>
            <w:tcBorders/>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5" w:type="dxa"/>
            <w:tcBorders/>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1" w:type="dxa"/>
            <w:gridSpan w:val="6"/>
            <w:tcBorders/>
            <w:vAlign w:val="bottom"/>
          </w:tcPr>
          <w:p>
            <w:pPr>
              <w:pStyle w:val="TableContents"/>
              <w:bidi w:val="0"/>
              <w:spacing w:lineRule="auto" w:line="300" w:before="0" w:after="0"/>
              <w:jc w:val="center"/>
              <w:rPr>
                <w:b/>
              </w:rPr>
            </w:pPr>
            <w:r>
              <w:rPr>
                <w:b/>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5" w:type="dxa"/>
            <w:gridSpan w:val="6"/>
            <w:tcBorders/>
            <w:vAlign w:val="bottom"/>
          </w:tcPr>
          <w:p>
            <w:pPr>
              <w:pStyle w:val="TableContents"/>
              <w:bidi w:val="0"/>
              <w:spacing w:lineRule="auto" w:line="300" w:before="0" w:after="0"/>
              <w:jc w:val="center"/>
              <w:rPr>
                <w:b/>
              </w:rPr>
            </w:pPr>
            <w:r>
              <w:rPr>
                <w:b/>
              </w:rPr>
              <w:t>(Unaudited)</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b/>
              </w:rPr>
            </w:pPr>
            <w:r>
              <w:rPr>
                <w:b/>
              </w:rPr>
              <w:t>Cash flows from operating activities:</w:t>
            </w:r>
          </w:p>
        </w:tc>
        <w:tc>
          <w:tcPr>
            <w:tcW w:w="60" w:type="dxa"/>
            <w:tcBorders/>
            <w:shd w:fill="CCEEFF" w:val="clear"/>
            <w:vAlign w:val="bottom"/>
          </w:tcPr>
          <w:p>
            <w:pPr>
              <w:pStyle w:val="TableContents"/>
              <w:bidi w:val="0"/>
              <w:spacing w:before="0" w:after="283"/>
              <w:jc w:val="left"/>
              <w:rPr/>
            </w:pPr>
            <w:r>
              <w:rPr/>
              <w:t> </w:t>
            </w:r>
          </w:p>
        </w:tc>
        <w:tc>
          <w:tcPr>
            <w:tcW w:w="985" w:type="dxa"/>
            <w:gridSpan w:val="2"/>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8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0" w:type="dxa"/>
            <w:gridSpan w:val="2"/>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Net income</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lineRule="auto" w:line="300" w:before="0" w:after="0"/>
              <w:jc w:val="left"/>
              <w:rPr/>
            </w:pPr>
            <w:r>
              <w:rPr/>
              <w:t>$</w:t>
            </w:r>
          </w:p>
        </w:tc>
        <w:tc>
          <w:tcPr>
            <w:tcW w:w="839" w:type="dxa"/>
            <w:tcBorders/>
            <w:vAlign w:val="bottom"/>
          </w:tcPr>
          <w:p>
            <w:pPr>
              <w:pStyle w:val="TableContents"/>
              <w:bidi w:val="0"/>
              <w:spacing w:lineRule="auto" w:line="300" w:before="0" w:after="0"/>
              <w:jc w:val="right"/>
              <w:rPr/>
            </w:pPr>
            <w:r>
              <w:rPr/>
              <w:t>4,469</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lineRule="auto" w:line="300" w:before="0" w:after="0"/>
              <w:jc w:val="left"/>
              <w:rPr/>
            </w:pPr>
            <w:r>
              <w:rPr/>
              <w:t>$</w:t>
            </w:r>
          </w:p>
        </w:tc>
        <w:tc>
          <w:tcPr>
            <w:tcW w:w="839" w:type="dxa"/>
            <w:tcBorders/>
            <w:vAlign w:val="bottom"/>
          </w:tcPr>
          <w:p>
            <w:pPr>
              <w:pStyle w:val="TableContents"/>
              <w:bidi w:val="0"/>
              <w:spacing w:lineRule="auto" w:line="300" w:before="0" w:after="0"/>
              <w:jc w:val="right"/>
              <w:rPr/>
            </w:pPr>
            <w:r>
              <w:rPr/>
              <w:t>3,188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pPr>
            <w:r>
              <w:rPr/>
              <w:t>$</w:t>
            </w:r>
          </w:p>
        </w:tc>
        <w:tc>
          <w:tcPr>
            <w:tcW w:w="800" w:type="dxa"/>
            <w:tcBorders/>
            <w:vAlign w:val="bottom"/>
          </w:tcPr>
          <w:p>
            <w:pPr>
              <w:pStyle w:val="TableContents"/>
              <w:bidi w:val="0"/>
              <w:spacing w:lineRule="auto" w:line="300" w:before="0" w:after="0"/>
              <w:jc w:val="right"/>
              <w:rPr/>
            </w:pPr>
            <w:r>
              <w:rPr/>
              <w:t>13,033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pPr>
            <w:r>
              <w:rPr/>
              <w:t>$</w:t>
            </w:r>
          </w:p>
        </w:tc>
        <w:tc>
          <w:tcPr>
            <w:tcW w:w="800" w:type="dxa"/>
            <w:tcBorders/>
            <w:vAlign w:val="bottom"/>
          </w:tcPr>
          <w:p>
            <w:pPr>
              <w:pStyle w:val="TableContents"/>
              <w:bidi w:val="0"/>
              <w:spacing w:lineRule="auto" w:line="300" w:before="0" w:after="0"/>
              <w:jc w:val="right"/>
              <w:rPr/>
            </w:pPr>
            <w:r>
              <w:rPr/>
              <w:t>3,986</w:t>
            </w:r>
          </w:p>
        </w:tc>
        <w:tc>
          <w:tcPr>
            <w:tcW w:w="115" w:type="dxa"/>
            <w:tcBorders/>
            <w:vAlign w:val="bottom"/>
          </w:tcPr>
          <w:p>
            <w:pPr>
              <w:pStyle w:val="TableContents"/>
              <w:bidi w:val="0"/>
              <w:spacing w:before="0" w:after="283"/>
              <w:jc w:val="left"/>
              <w:rPr/>
            </w:pPr>
            <w:r>
              <w:rPr/>
              <w:t> </w:t>
            </w:r>
          </w:p>
        </w:tc>
      </w:tr>
      <w:tr>
        <w:trPr/>
        <w:tc>
          <w:tcPr>
            <w:tcW w:w="7900" w:type="dxa"/>
            <w:gridSpan w:val="8"/>
            <w:tcBorders/>
            <w:shd w:fill="CCEEFF" w:val="clear"/>
            <w:vAlign w:val="bottom"/>
          </w:tcPr>
          <w:p>
            <w:pPr>
              <w:pStyle w:val="TableContents"/>
              <w:bidi w:val="0"/>
              <w:spacing w:lineRule="auto" w:line="300" w:before="0" w:after="0"/>
              <w:jc w:val="left"/>
              <w:rPr/>
            </w:pPr>
            <w:r>
              <w:rPr/>
              <w:t>Adjustments to reconcile net income to net cash provided by operating activities:</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Depreciation and amortization</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3,425</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4,089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6,839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8,373</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Amortization of premium and accretion of discount of marketable securities, net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(177</w:t>
            </w:r>
          </w:p>
        </w:tc>
        <w:tc>
          <w:tcPr>
            <w:tcW w:w="99" w:type="dxa"/>
            <w:tcBorders/>
            <w:shd w:fill="CCEEFF" w:val="clear"/>
            <w:vAlign w:val="bottom"/>
          </w:tcPr>
          <w:p>
            <w:pPr>
              <w:pStyle w:val="TableContents"/>
              <w:bidi w:val="0"/>
              <w:spacing w:lineRule="auto" w:line="300" w:before="0" w:after="0"/>
              <w:jc w:val="left"/>
              <w:rPr/>
            </w:pPr>
            <w:r>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(1,530</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(424</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(1,597</w:t>
            </w:r>
          </w:p>
        </w:tc>
        <w:tc>
          <w:tcPr>
            <w:tcW w:w="115" w:type="dxa"/>
            <w:tcBorders/>
            <w:shd w:fill="CCEEFF" w:val="clear"/>
            <w:vAlign w:val="bottom"/>
          </w:tcPr>
          <w:p>
            <w:pPr>
              <w:pStyle w:val="TableContents"/>
              <w:bidi w:val="0"/>
              <w:spacing w:lineRule="auto" w:line="300" w:before="0" w:after="0"/>
              <w:jc w:val="left"/>
              <w:rPr/>
            </w:pPr>
            <w:r>
              <w:rPr/>
              <w:t>)</w:t>
            </w:r>
          </w:p>
        </w:tc>
      </w:tr>
      <w:tr>
        <w:trPr/>
        <w:tc>
          <w:tcPr>
            <w:tcW w:w="5709" w:type="dxa"/>
            <w:tcBorders/>
            <w:vAlign w:val="bottom"/>
          </w:tcPr>
          <w:p>
            <w:pPr>
              <w:pStyle w:val="TableContents"/>
              <w:bidi w:val="0"/>
              <w:spacing w:lineRule="auto" w:line="300" w:before="0" w:after="0"/>
              <w:jc w:val="left"/>
              <w:rPr/>
            </w:pPr>
            <w:r>
              <w:rPr/>
              <w:t>Amortization of discount and issuance costs of convertible notes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642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1,283</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Shared-based compensation</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8,223</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14,055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17,205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29,809</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Exchange rate fluctuations and other items, net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(175</w:t>
            </w:r>
          </w:p>
        </w:tc>
        <w:tc>
          <w:tcPr>
            <w:tcW w:w="99" w:type="dxa"/>
            <w:tcBorders/>
            <w:vAlign w:val="bottom"/>
          </w:tcPr>
          <w:p>
            <w:pPr>
              <w:pStyle w:val="TableContents"/>
              <w:bidi w:val="0"/>
              <w:spacing w:lineRule="auto" w:line="300" w:before="0" w:after="0"/>
              <w:jc w:val="left"/>
              <w:rPr/>
            </w:pPr>
            <w:r>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(345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(49</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(344</w:t>
            </w:r>
          </w:p>
        </w:tc>
        <w:tc>
          <w:tcPr>
            <w:tcW w:w="115" w:type="dxa"/>
            <w:tcBorders/>
            <w:vAlign w:val="bottom"/>
          </w:tcPr>
          <w:p>
            <w:pPr>
              <w:pStyle w:val="TableContents"/>
              <w:bidi w:val="0"/>
              <w:spacing w:lineRule="auto" w:line="300" w:before="0" w:after="0"/>
              <w:jc w:val="left"/>
              <w:rPr/>
            </w:pPr>
            <w:r>
              <w:rPr/>
              <w:t>)</w:t>
            </w:r>
          </w:p>
        </w:tc>
      </w:tr>
      <w:tr>
        <w:trPr/>
        <w:tc>
          <w:tcPr>
            <w:tcW w:w="5709" w:type="dxa"/>
            <w:tcBorders/>
            <w:shd w:fill="CCEEFF" w:val="clear"/>
            <w:vAlign w:val="bottom"/>
          </w:tcPr>
          <w:p>
            <w:pPr>
              <w:pStyle w:val="TableContents"/>
              <w:bidi w:val="0"/>
              <w:spacing w:lineRule="auto" w:line="300" w:before="0" w:after="0"/>
              <w:jc w:val="left"/>
              <w:rPr/>
            </w:pPr>
            <w:r>
              <w:rPr/>
              <w:t>Revaluation of earn-outs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(90</w:t>
            </w:r>
          </w:p>
        </w:tc>
        <w:tc>
          <w:tcPr>
            <w:tcW w:w="99" w:type="dxa"/>
            <w:tcBorders/>
            <w:shd w:fill="CCEEFF" w:val="clear"/>
            <w:vAlign w:val="bottom"/>
          </w:tcPr>
          <w:p>
            <w:pPr>
              <w:pStyle w:val="TableContents"/>
              <w:bidi w:val="0"/>
              <w:spacing w:lineRule="auto" w:line="300" w:before="0" w:after="0"/>
              <w:jc w:val="left"/>
              <w:rPr/>
            </w:pPr>
            <w:r>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4,067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7,329</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Changes in assets and liabilities: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User funds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8,048</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2,930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3,427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(10,810</w:t>
            </w:r>
          </w:p>
        </w:tc>
        <w:tc>
          <w:tcPr>
            <w:tcW w:w="115" w:type="dxa"/>
            <w:tcBorders/>
            <w:shd w:fill="CCEEFF" w:val="clear"/>
            <w:vAlign w:val="bottom"/>
          </w:tcPr>
          <w:p>
            <w:pPr>
              <w:pStyle w:val="TableContents"/>
              <w:bidi w:val="0"/>
              <w:spacing w:lineRule="auto" w:line="300" w:before="0" w:after="0"/>
              <w:jc w:val="left"/>
              <w:rPr/>
            </w:pPr>
            <w:r>
              <w:rPr/>
              <w:t>)</w:t>
            </w:r>
          </w:p>
        </w:tc>
      </w:tr>
      <w:tr>
        <w:trPr/>
        <w:tc>
          <w:tcPr>
            <w:tcW w:w="5709" w:type="dxa"/>
            <w:tcBorders/>
            <w:vAlign w:val="bottom"/>
          </w:tcPr>
          <w:p>
            <w:pPr>
              <w:pStyle w:val="TableContents"/>
              <w:bidi w:val="0"/>
              <w:spacing w:lineRule="auto" w:line="300" w:before="0" w:after="0"/>
              <w:jc w:val="left"/>
              <w:rPr/>
            </w:pPr>
            <w:r>
              <w:rPr/>
              <w:t>Operating lease ROU assets and liabilities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45</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385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(7</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312</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Other receivables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(2,196</w:t>
            </w:r>
          </w:p>
        </w:tc>
        <w:tc>
          <w:tcPr>
            <w:tcW w:w="99" w:type="dxa"/>
            <w:tcBorders/>
            <w:shd w:fill="CCEEFF" w:val="clear"/>
            <w:vAlign w:val="bottom"/>
          </w:tcPr>
          <w:p>
            <w:pPr>
              <w:pStyle w:val="TableContents"/>
              <w:bidi w:val="0"/>
              <w:spacing w:lineRule="auto" w:line="300" w:before="0" w:after="0"/>
              <w:jc w:val="left"/>
              <w:rPr/>
            </w:pPr>
            <w:r>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(2,399</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(2,843</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(287</w:t>
            </w:r>
          </w:p>
        </w:tc>
        <w:tc>
          <w:tcPr>
            <w:tcW w:w="115" w:type="dxa"/>
            <w:tcBorders/>
            <w:shd w:fill="CCEEFF" w:val="clear"/>
            <w:vAlign w:val="bottom"/>
          </w:tcPr>
          <w:p>
            <w:pPr>
              <w:pStyle w:val="TableContents"/>
              <w:bidi w:val="0"/>
              <w:spacing w:lineRule="auto" w:line="300" w:before="0" w:after="0"/>
              <w:jc w:val="left"/>
              <w:rPr/>
            </w:pPr>
            <w:r>
              <w:rPr/>
              <w:t>)</w:t>
            </w:r>
          </w:p>
        </w:tc>
      </w:tr>
      <w:tr>
        <w:trPr/>
        <w:tc>
          <w:tcPr>
            <w:tcW w:w="5709" w:type="dxa"/>
            <w:tcBorders/>
            <w:vAlign w:val="bottom"/>
          </w:tcPr>
          <w:p>
            <w:pPr>
              <w:pStyle w:val="TableContents"/>
              <w:bidi w:val="0"/>
              <w:spacing w:lineRule="auto" w:line="300" w:before="0" w:after="0"/>
              <w:jc w:val="left"/>
              <w:rPr/>
            </w:pPr>
            <w:r>
              <w:rPr/>
              <w:t>Deferred tax assets, net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(1,060</w:t>
            </w:r>
          </w:p>
        </w:tc>
        <w:tc>
          <w:tcPr>
            <w:tcW w:w="99" w:type="dxa"/>
            <w:tcBorders/>
            <w:vAlign w:val="bottom"/>
          </w:tcPr>
          <w:p>
            <w:pPr>
              <w:pStyle w:val="TableContents"/>
              <w:bidi w:val="0"/>
              <w:spacing w:lineRule="auto" w:line="300" w:before="0" w:after="0"/>
              <w:jc w:val="left"/>
              <w:rPr/>
            </w:pPr>
            <w:r>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(1,543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(1,972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(3,224</w:t>
            </w:r>
          </w:p>
        </w:tc>
        <w:tc>
          <w:tcPr>
            <w:tcW w:w="115" w:type="dxa"/>
            <w:tcBorders/>
            <w:vAlign w:val="bottom"/>
          </w:tcPr>
          <w:p>
            <w:pPr>
              <w:pStyle w:val="TableContents"/>
              <w:bidi w:val="0"/>
              <w:spacing w:lineRule="auto" w:line="300" w:before="0" w:after="0"/>
              <w:jc w:val="left"/>
              <w:rPr/>
            </w:pPr>
            <w:r>
              <w:rPr/>
              <w:t>)</w:t>
            </w:r>
          </w:p>
        </w:tc>
      </w:tr>
      <w:tr>
        <w:trPr/>
        <w:tc>
          <w:tcPr>
            <w:tcW w:w="5709" w:type="dxa"/>
            <w:tcBorders/>
            <w:shd w:fill="CCEEFF" w:val="clear"/>
            <w:vAlign w:val="bottom"/>
          </w:tcPr>
          <w:p>
            <w:pPr>
              <w:pStyle w:val="TableContents"/>
              <w:bidi w:val="0"/>
              <w:spacing w:lineRule="auto" w:line="300" w:before="0" w:after="0"/>
              <w:jc w:val="left"/>
              <w:rPr/>
            </w:pPr>
            <w:r>
              <w:rPr/>
              <w:t>Trade payables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2,211</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3,019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1,362</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Deferred revenue</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(2,152</w:t>
            </w:r>
          </w:p>
        </w:tc>
        <w:tc>
          <w:tcPr>
            <w:tcW w:w="99" w:type="dxa"/>
            <w:tcBorders/>
            <w:vAlign w:val="bottom"/>
          </w:tcPr>
          <w:p>
            <w:pPr>
              <w:pStyle w:val="TableContents"/>
              <w:bidi w:val="0"/>
              <w:spacing w:lineRule="auto" w:line="300" w:before="0" w:after="0"/>
              <w:jc w:val="left"/>
              <w:rPr/>
            </w:pPr>
            <w:r>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(1,163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(548</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749</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User accounts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(6,439</w:t>
            </w:r>
          </w:p>
        </w:tc>
        <w:tc>
          <w:tcPr>
            <w:tcW w:w="99" w:type="dxa"/>
            <w:tcBorders/>
            <w:shd w:fill="CCEEFF" w:val="clear"/>
            <w:vAlign w:val="bottom"/>
          </w:tcPr>
          <w:p>
            <w:pPr>
              <w:pStyle w:val="TableContents"/>
              <w:bidi w:val="0"/>
              <w:spacing w:lineRule="auto" w:line="300" w:before="0" w:after="0"/>
              <w:jc w:val="left"/>
              <w:rPr/>
            </w:pPr>
            <w:r>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(2,579</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(2,865</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10,356</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Payment of earn-out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(1,800</w:t>
            </w:r>
          </w:p>
        </w:tc>
        <w:tc>
          <w:tcPr>
            <w:tcW w:w="99" w:type="dxa"/>
            <w:tcBorders/>
            <w:vAlign w:val="bottom"/>
          </w:tcPr>
          <w:p>
            <w:pPr>
              <w:pStyle w:val="TableContents"/>
              <w:bidi w:val="0"/>
              <w:spacing w:lineRule="auto" w:line="300" w:before="0" w:after="0"/>
              <w:jc w:val="left"/>
              <w:rPr/>
            </w:pPr>
            <w:r>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(5,283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Other accounts payable and accrued expenses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1,249</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5,264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4,831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6,287</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Non-current liabilities</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lineRule="auto" w:line="300" w:before="0" w:after="0"/>
              <w:jc w:val="right"/>
              <w:rPr/>
            </w:pPr>
            <w:r>
              <w:rPr/>
              <w:t>262</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lineRule="auto" w:line="300" w:before="0" w:after="0"/>
              <w:jc w:val="right"/>
              <w:rPr/>
            </w:pPr>
            <w:r>
              <w:rPr/>
              <w:t>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583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(71</w:t>
            </w:r>
          </w:p>
        </w:tc>
        <w:tc>
          <w:tcPr>
            <w:tcW w:w="115" w:type="dxa"/>
            <w:tcBorders/>
            <w:vAlign w:val="bottom"/>
          </w:tcPr>
          <w:p>
            <w:pPr>
              <w:pStyle w:val="TableContents"/>
              <w:bidi w:val="0"/>
              <w:spacing w:lineRule="auto" w:line="300" w:before="0" w:after="0"/>
              <w:jc w:val="left"/>
              <w:rPr/>
            </w:pPr>
            <w:r>
              <w:rPr/>
              <w:t>)</w:t>
            </w:r>
          </w:p>
        </w:tc>
      </w:tr>
      <w:tr>
        <w:trPr/>
        <w:tc>
          <w:tcPr>
            <w:tcW w:w="5709" w:type="dxa"/>
            <w:tcBorders/>
            <w:shd w:fill="CCEEFF" w:val="clear"/>
            <w:vAlign w:val="bottom"/>
          </w:tcPr>
          <w:p>
            <w:pPr>
              <w:pStyle w:val="TableContents"/>
              <w:bidi w:val="0"/>
              <w:spacing w:lineRule="auto" w:line="300" w:before="0" w:after="0"/>
              <w:jc w:val="left"/>
              <w:rPr/>
            </w:pPr>
            <w:r>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13,843</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25,204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35,019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53,513</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b/>
              </w:rPr>
            </w:pPr>
            <w:r>
              <w:rPr>
                <w:b/>
              </w:rPr>
              <w:t>Investing Activities: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Investment in marketable securities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(39,230</w:t>
            </w:r>
          </w:p>
        </w:tc>
        <w:tc>
          <w:tcPr>
            <w:tcW w:w="99" w:type="dxa"/>
            <w:tcBorders/>
            <w:vAlign w:val="bottom"/>
          </w:tcPr>
          <w:p>
            <w:pPr>
              <w:pStyle w:val="TableContents"/>
              <w:bidi w:val="0"/>
              <w:spacing w:lineRule="auto" w:line="300" w:before="0" w:after="0"/>
              <w:jc w:val="left"/>
              <w:rPr/>
            </w:pPr>
            <w:r>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(63,654</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(55,652</w:t>
            </w:r>
          </w:p>
        </w:tc>
        <w:tc>
          <w:tcPr>
            <w:tcW w:w="115" w:type="dxa"/>
            <w:tcBorders/>
            <w:vAlign w:val="bottom"/>
          </w:tcPr>
          <w:p>
            <w:pPr>
              <w:pStyle w:val="TableContents"/>
              <w:bidi w:val="0"/>
              <w:spacing w:lineRule="auto" w:line="300" w:before="0" w:after="0"/>
              <w:jc w:val="left"/>
              <w:rPr/>
            </w:pPr>
            <w:r>
              <w:rPr/>
              <w:t>)</w:t>
            </w:r>
          </w:p>
        </w:tc>
      </w:tr>
      <w:tr>
        <w:trPr/>
        <w:tc>
          <w:tcPr>
            <w:tcW w:w="5709" w:type="dxa"/>
            <w:tcBorders/>
            <w:shd w:fill="CCEEFF" w:val="clear"/>
            <w:vAlign w:val="bottom"/>
          </w:tcPr>
          <w:p>
            <w:pPr>
              <w:pStyle w:val="TableContents"/>
              <w:bidi w:val="0"/>
              <w:spacing w:lineRule="auto" w:line="300" w:before="0" w:after="0"/>
              <w:jc w:val="left"/>
              <w:rPr/>
            </w:pPr>
            <w:r>
              <w:rPr/>
              <w:t>Proceeds from maturities of marketable securities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40,637</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97,102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93,969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180,271</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Investment in short-term bank deposits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(500</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(30,000</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(2,000</w:t>
            </w:r>
          </w:p>
        </w:tc>
        <w:tc>
          <w:tcPr>
            <w:tcW w:w="115" w:type="dxa"/>
            <w:tcBorders/>
            <w:vAlign w:val="bottom"/>
          </w:tcPr>
          <w:p>
            <w:pPr>
              <w:pStyle w:val="TableContents"/>
              <w:bidi w:val="0"/>
              <w:spacing w:lineRule="auto" w:line="300" w:before="0" w:after="0"/>
              <w:jc w:val="left"/>
              <w:rPr/>
            </w:pPr>
            <w:r>
              <w:rPr/>
              <w:t>)</w:t>
            </w:r>
          </w:p>
        </w:tc>
      </w:tr>
      <w:tr>
        <w:trPr/>
        <w:tc>
          <w:tcPr>
            <w:tcW w:w="5709" w:type="dxa"/>
            <w:tcBorders/>
            <w:shd w:fill="CCEEFF" w:val="clear"/>
            <w:vAlign w:val="bottom"/>
          </w:tcPr>
          <w:p>
            <w:pPr>
              <w:pStyle w:val="TableContents"/>
              <w:bidi w:val="0"/>
              <w:spacing w:lineRule="auto" w:line="300" w:before="0" w:after="0"/>
              <w:jc w:val="left"/>
              <w:rPr/>
            </w:pPr>
            <w:r>
              <w:rPr/>
              <w:t>Proceeds from short-term bank deposits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5</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843</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Purchase of property and equipment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(208</w:t>
            </w:r>
          </w:p>
        </w:tc>
        <w:tc>
          <w:tcPr>
            <w:tcW w:w="99" w:type="dxa"/>
            <w:tcBorders/>
            <w:vAlign w:val="bottom"/>
          </w:tcPr>
          <w:p>
            <w:pPr>
              <w:pStyle w:val="TableContents"/>
              <w:bidi w:val="0"/>
              <w:spacing w:lineRule="auto" w:line="300" w:before="0" w:after="0"/>
              <w:jc w:val="left"/>
              <w:rPr/>
            </w:pPr>
            <w:r>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(185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(367</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(472</w:t>
            </w:r>
          </w:p>
        </w:tc>
        <w:tc>
          <w:tcPr>
            <w:tcW w:w="115" w:type="dxa"/>
            <w:tcBorders/>
            <w:vAlign w:val="bottom"/>
          </w:tcPr>
          <w:p>
            <w:pPr>
              <w:pStyle w:val="TableContents"/>
              <w:bidi w:val="0"/>
              <w:spacing w:lineRule="auto" w:line="300" w:before="0" w:after="0"/>
              <w:jc w:val="left"/>
              <w:rPr/>
            </w:pPr>
            <w:r>
              <w:rPr/>
              <w:t>)</w:t>
            </w:r>
          </w:p>
        </w:tc>
      </w:tr>
      <w:tr>
        <w:trPr/>
        <w:tc>
          <w:tcPr>
            <w:tcW w:w="5709" w:type="dxa"/>
            <w:tcBorders/>
            <w:shd w:fill="CCEEFF" w:val="clear"/>
            <w:vAlign w:val="bottom"/>
          </w:tcPr>
          <w:p>
            <w:pPr>
              <w:pStyle w:val="TableContents"/>
              <w:bidi w:val="0"/>
              <w:spacing w:lineRule="auto" w:line="300" w:before="0" w:after="0"/>
              <w:jc w:val="left"/>
              <w:rPr/>
            </w:pPr>
            <w:r>
              <w:rPr/>
              <w:t>Capitalization of internal-use software</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(661</w:t>
            </w:r>
          </w:p>
        </w:tc>
        <w:tc>
          <w:tcPr>
            <w:tcW w:w="115" w:type="dxa"/>
            <w:tcBorders/>
            <w:shd w:fill="CCEEFF" w:val="clear"/>
            <w:vAlign w:val="bottom"/>
          </w:tcPr>
          <w:p>
            <w:pPr>
              <w:pStyle w:val="TableContents"/>
              <w:bidi w:val="0"/>
              <w:spacing w:lineRule="auto" w:line="300" w:before="0" w:after="0"/>
              <w:jc w:val="left"/>
              <w:rPr/>
            </w:pPr>
            <w:r>
              <w:rPr/>
              <w:t>)</w:t>
            </w:r>
          </w:p>
        </w:tc>
      </w:tr>
      <w:tr>
        <w:trPr/>
        <w:tc>
          <w:tcPr>
            <w:tcW w:w="5709" w:type="dxa"/>
            <w:tcBorders/>
            <w:vAlign w:val="bottom"/>
          </w:tcPr>
          <w:p>
            <w:pPr>
              <w:pStyle w:val="TableContents"/>
              <w:bidi w:val="0"/>
              <w:spacing w:lineRule="auto" w:line="300" w:before="0" w:after="0"/>
              <w:jc w:val="left"/>
              <w:rPr/>
            </w:pPr>
            <w:r>
              <w:rPr/>
              <w:t>Other receivables and non-current assets</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901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Net cash provided by investing activities</w:t>
            </w:r>
          </w:p>
        </w:tc>
        <w:tc>
          <w:tcPr>
            <w:tcW w:w="60" w:type="dxa"/>
            <w:tcBorders/>
            <w:shd w:fill="CCEEFF" w:val="clear"/>
            <w:vAlign w:val="bottom"/>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1,204</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96,417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122,329</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b/>
              </w:rPr>
            </w:pPr>
            <w:r>
              <w:rPr>
                <w:b/>
              </w:rPr>
              <w:t>Financing Activities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Repurchases of common stock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(8,017</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Proceeds from exercise of share options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369</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2,101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1,349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2,579</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Payment of earn-out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(1,717</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Proceeds from withholding tax related to employees' exercises of share options and RSUs, net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(226</w:t>
            </w:r>
          </w:p>
        </w:tc>
        <w:tc>
          <w:tcPr>
            <w:tcW w:w="99" w:type="dxa"/>
            <w:tcBorders/>
            <w:shd w:fill="CCEEFF" w:val="clear"/>
            <w:vAlign w:val="bottom"/>
          </w:tcPr>
          <w:p>
            <w:pPr>
              <w:pStyle w:val="TableContents"/>
              <w:bidi w:val="0"/>
              <w:spacing w:lineRule="auto" w:line="300" w:before="0" w:after="0"/>
              <w:jc w:val="left"/>
              <w:rPr/>
            </w:pPr>
            <w:r>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2,349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(507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1,288</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Deferred payment related to business combination</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(1,078</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Net cash provided by (used in) financing activities</w:t>
            </w:r>
          </w:p>
        </w:tc>
        <w:tc>
          <w:tcPr>
            <w:tcW w:w="60" w:type="dxa"/>
            <w:tcBorders/>
            <w:shd w:fill="CCEEFF" w:val="clear"/>
            <w:vAlign w:val="bottom"/>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143</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4,450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(9,970</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3,867</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Effect of exchange rate fluctuations on cash and cash equivalents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163</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345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339</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 xml:space="preserve">Increase in cash and cash equivalents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15,353</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lineRule="auto" w:line="300" w:before="0" w:after="0"/>
              <w:jc w:val="right"/>
              <w:rPr/>
            </w:pPr>
            <w:r>
              <w:rPr/>
              <w:t>126,416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25,979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180,048</w:t>
            </w:r>
          </w:p>
        </w:tc>
        <w:tc>
          <w:tcPr>
            <w:tcW w:w="115" w:type="dxa"/>
            <w:tcBorders/>
            <w:shd w:fill="CCEEFF" w:val="clear"/>
            <w:vAlign w:val="bottom"/>
          </w:tcPr>
          <w:p>
            <w:pPr>
              <w:pStyle w:val="TableContents"/>
              <w:bidi w:val="0"/>
              <w:spacing w:before="0" w:after="283"/>
              <w:jc w:val="left"/>
              <w:rPr/>
            </w:pPr>
            <w:r>
              <w:rPr/>
              <w:t> </w:t>
            </w:r>
          </w:p>
        </w:tc>
      </w:tr>
      <w:tr>
        <w:trPr/>
        <w:tc>
          <w:tcPr>
            <w:tcW w:w="5709" w:type="dxa"/>
            <w:tcBorders/>
            <w:vAlign w:val="bottom"/>
          </w:tcPr>
          <w:p>
            <w:pPr>
              <w:pStyle w:val="TableContents"/>
              <w:bidi w:val="0"/>
              <w:spacing w:lineRule="auto" w:line="300" w:before="0" w:after="0"/>
              <w:jc w:val="left"/>
              <w:rPr/>
            </w:pPr>
            <w:r>
              <w:rPr/>
              <w:t>Cash and cash equivalents at the beginning of the period</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lineRule="auto" w:line="300" w:before="0" w:after="0"/>
              <w:jc w:val="right"/>
              <w:rPr/>
            </w:pPr>
            <w:r>
              <w:rPr/>
              <w:t>135,841</w:t>
            </w:r>
          </w:p>
        </w:tc>
        <w:tc>
          <w:tcPr>
            <w:tcW w:w="9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lineRule="auto" w:line="300" w:before="0" w:after="0"/>
              <w:jc w:val="right"/>
              <w:rPr/>
            </w:pPr>
            <w:r>
              <w:rPr/>
              <w:t>187,104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125,215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133,472</w:t>
            </w:r>
          </w:p>
        </w:tc>
        <w:tc>
          <w:tcPr>
            <w:tcW w:w="115" w:type="dxa"/>
            <w:tcBorders/>
            <w:vAlign w:val="bottom"/>
          </w:tcPr>
          <w:p>
            <w:pPr>
              <w:pStyle w:val="TableContents"/>
              <w:bidi w:val="0"/>
              <w:spacing w:before="0" w:after="283"/>
              <w:jc w:val="left"/>
              <w:rPr/>
            </w:pPr>
            <w:r>
              <w:rPr/>
              <w:t> </w:t>
            </w:r>
          </w:p>
        </w:tc>
      </w:tr>
      <w:tr>
        <w:trPr/>
        <w:tc>
          <w:tcPr>
            <w:tcW w:w="5709" w:type="dxa"/>
            <w:tcBorders/>
            <w:shd w:fill="CCEEFF" w:val="clear"/>
            <w:vAlign w:val="bottom"/>
          </w:tcPr>
          <w:p>
            <w:pPr>
              <w:pStyle w:val="TableContents"/>
              <w:bidi w:val="0"/>
              <w:spacing w:lineRule="auto" w:line="300" w:before="0" w:after="0"/>
              <w:jc w:val="left"/>
              <w:rPr/>
            </w:pPr>
            <w:r>
              <w:rPr/>
              <w:t>Cash and cash equivalents at the end of the period</w:t>
            </w:r>
          </w:p>
        </w:tc>
        <w:tc>
          <w:tcPr>
            <w:tcW w:w="60" w:type="dxa"/>
            <w:tcBorders/>
            <w:shd w:fill="CCEEFF" w:val="clear"/>
            <w:vAlign w:val="bottom"/>
          </w:tcPr>
          <w:p>
            <w:pPr>
              <w:pStyle w:val="TableContents"/>
              <w:bidi w:val="0"/>
              <w:spacing w:before="0" w:after="283"/>
              <w:jc w:val="left"/>
              <w:rPr/>
            </w:pPr>
            <w:r>
              <w:rPr/>
              <w:t> </w:t>
            </w:r>
          </w:p>
        </w:tc>
        <w:tc>
          <w:tcPr>
            <w:tcW w:w="146"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3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151,194</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3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313,520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151,194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313,520</w:t>
            </w:r>
          </w:p>
        </w:tc>
        <w:tc>
          <w:tcPr>
            <w:tcW w:w="11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center"/>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 xml:space="preserve">  </w:t>
      </w:r>
    </w:p>
    <w:p>
      <w:pPr>
        <w:pStyle w:val="TextBody"/>
        <w:bidi w:val="0"/>
        <w:spacing w:lineRule="auto" w:line="240" w:before="0" w:after="0"/>
        <w:jc w:val="center"/>
        <w:rPr>
          <w:rFonts w:ascii="Times New Roman;Times;serif" w:hAnsi="Times New Roman;Times;serif"/>
          <w:b/>
          <w:color w:val="000000"/>
          <w:sz w:val="20"/>
        </w:rPr>
      </w:pPr>
      <w:r>
        <w:rPr>
          <w:rFonts w:ascii="Times New Roman;Times;serif" w:hAnsi="Times New Roman;Times;serif"/>
          <w:b/>
          <w:color w:val="000000"/>
          <w:sz w:val="20"/>
        </w:rPr>
        <w:t>REVENUE BREAKDOWN</w:t>
        <w:br/>
        <w:t> (In thousands1)</w:t>
      </w:r>
    </w:p>
    <w:p>
      <w:pPr>
        <w:pStyle w:val="TextBody"/>
        <w:bidi w:val="0"/>
        <w:spacing w:lineRule="auto" w:line="300" w:before="0" w:after="0"/>
        <w:jc w:val="center"/>
        <w:rPr>
          <w:b/>
        </w:rPr>
      </w:pPr>
      <w:r>
        <w:rPr>
          <w:b/>
        </w:rPr>
      </w:r>
    </w:p>
    <w:p>
      <w:pPr>
        <w:pStyle w:val="Normal"/>
        <w:bidi w:val="0"/>
        <w:spacing w:before="0" w:after="0"/>
        <w:jc w:val="left"/>
        <w:rPr>
          <w:sz w:val="4"/>
          <w:szCs w:val="4"/>
        </w:rPr>
      </w:pPr>
      <w:r>
        <w:rPr>
          <w:sz w:val="4"/>
          <w:szCs w:val="4"/>
        </w:rPr>
      </w:r>
      <w:bookmarkStart w:id="43" w:name="z8adfa0a1190a480e9e0fcd43133a1b77"/>
      <w:bookmarkStart w:id="44" w:name="z8adfa0a1190a480e9e0fcd43133a1b77"/>
      <w:bookmarkEnd w:id="44"/>
    </w:p>
    <w:tbl>
      <w:tblPr>
        <w:tblW w:w="7513" w:type="dxa"/>
        <w:jc w:val="left"/>
        <w:tblInd w:w="0" w:type="dxa"/>
        <w:tblLayout w:type="fixed"/>
        <w:tblCellMar>
          <w:top w:w="0" w:type="dxa"/>
          <w:left w:w="0" w:type="dxa"/>
          <w:bottom w:w="0" w:type="dxa"/>
          <w:right w:w="0" w:type="dxa"/>
        </w:tblCellMar>
      </w:tblPr>
      <w:tblGrid>
        <w:gridCol w:w="2585"/>
        <w:gridCol w:w="60"/>
        <w:gridCol w:w="152"/>
        <w:gridCol w:w="738"/>
        <w:gridCol w:w="233"/>
        <w:gridCol w:w="65"/>
        <w:gridCol w:w="152"/>
        <w:gridCol w:w="868"/>
        <w:gridCol w:w="215"/>
        <w:gridCol w:w="60"/>
        <w:gridCol w:w="140"/>
        <w:gridCol w:w="800"/>
        <w:gridCol w:w="215"/>
        <w:gridCol w:w="60"/>
        <w:gridCol w:w="140"/>
        <w:gridCol w:w="800"/>
        <w:gridCol w:w="230"/>
      </w:tblGrid>
      <w:tr>
        <w:trPr/>
        <w:tc>
          <w:tcPr>
            <w:tcW w:w="2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8" w:type="dxa"/>
            <w:gridSpan w:val="6"/>
            <w:tcBorders/>
            <w:vAlign w:val="bottom"/>
          </w:tcPr>
          <w:p>
            <w:pPr>
              <w:pStyle w:val="TableContents"/>
              <w:bidi w:val="0"/>
              <w:spacing w:lineRule="auto" w:line="300" w:before="0" w:after="0"/>
              <w:jc w:val="center"/>
              <w:rPr>
                <w:b/>
              </w:rPr>
            </w:pPr>
            <w:r>
              <w:rPr>
                <w:b/>
              </w:rPr>
              <w:t>Three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5" w:type="dxa"/>
            <w:gridSpan w:val="6"/>
            <w:tcBorders/>
            <w:vAlign w:val="bottom"/>
          </w:tcPr>
          <w:p>
            <w:pPr>
              <w:pStyle w:val="TableContents"/>
              <w:bidi w:val="0"/>
              <w:spacing w:lineRule="auto" w:line="300" w:before="0" w:after="0"/>
              <w:jc w:val="center"/>
              <w:rPr>
                <w:b/>
              </w:rPr>
            </w:pPr>
            <w:r>
              <w:rPr>
                <w:b/>
              </w:rPr>
              <w:t>Six Months Ended</w:t>
            </w:r>
          </w:p>
        </w:tc>
        <w:tc>
          <w:tcPr>
            <w:tcW w:w="23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23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3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30"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lineRule="auto" w:line="300" w:before="0" w:after="0"/>
              <w:jc w:val="left"/>
              <w:rPr/>
            </w:pPr>
            <w:r>
              <w:rPr/>
              <w:t>Marketplace Revenue</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lineRule="auto" w:line="300" w:before="0" w:after="0"/>
              <w:jc w:val="left"/>
              <w:rPr/>
            </w:pPr>
            <w:r>
              <w:rPr/>
              <w:t>$</w:t>
            </w:r>
          </w:p>
        </w:tc>
        <w:tc>
          <w:tcPr>
            <w:tcW w:w="738" w:type="dxa"/>
            <w:tcBorders/>
            <w:shd w:fill="CCEEFF" w:val="clear"/>
            <w:vAlign w:val="bottom"/>
          </w:tcPr>
          <w:p>
            <w:pPr>
              <w:pStyle w:val="TableContents"/>
              <w:bidi w:val="0"/>
              <w:spacing w:lineRule="auto" w:line="300" w:before="0" w:after="0"/>
              <w:jc w:val="right"/>
              <w:rPr/>
            </w:pPr>
            <w:r>
              <w:rPr/>
              <w:t>63,141</w:t>
            </w:r>
          </w:p>
        </w:tc>
        <w:tc>
          <w:tcPr>
            <w:tcW w:w="23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lineRule="auto" w:line="300" w:before="0" w:after="0"/>
              <w:jc w:val="left"/>
              <w:rPr/>
            </w:pPr>
            <w:r>
              <w:rPr/>
              <w:t>$</w:t>
            </w:r>
          </w:p>
        </w:tc>
        <w:tc>
          <w:tcPr>
            <w:tcW w:w="868" w:type="dxa"/>
            <w:tcBorders/>
            <w:shd w:fill="CCEEFF" w:val="clear"/>
            <w:vAlign w:val="bottom"/>
          </w:tcPr>
          <w:p>
            <w:pPr>
              <w:pStyle w:val="TableContents"/>
              <w:bidi w:val="0"/>
              <w:spacing w:lineRule="auto" w:line="300" w:before="0" w:after="0"/>
              <w:jc w:val="right"/>
              <w:rPr/>
            </w:pPr>
            <w:r>
              <w:rPr/>
              <w:t>74,689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800" w:type="dxa"/>
            <w:tcBorders/>
            <w:shd w:fill="CCEEFF" w:val="clear"/>
            <w:vAlign w:val="bottom"/>
          </w:tcPr>
          <w:p>
            <w:pPr>
              <w:pStyle w:val="TableContents"/>
              <w:bidi w:val="0"/>
              <w:spacing w:lineRule="auto" w:line="300" w:before="0" w:after="0"/>
              <w:jc w:val="right"/>
              <w:rPr/>
            </w:pPr>
            <w:r>
              <w:rPr/>
              <w:t>130,275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800" w:type="dxa"/>
            <w:tcBorders/>
            <w:shd w:fill="CCEEFF" w:val="clear"/>
            <w:vAlign w:val="bottom"/>
          </w:tcPr>
          <w:p>
            <w:pPr>
              <w:pStyle w:val="TableContents"/>
              <w:bidi w:val="0"/>
              <w:spacing w:lineRule="auto" w:line="300" w:before="0" w:after="0"/>
              <w:jc w:val="right"/>
              <w:rPr/>
            </w:pPr>
            <w:r>
              <w:rPr/>
              <w:t>152,363</w:t>
            </w:r>
          </w:p>
        </w:tc>
        <w:tc>
          <w:tcPr>
            <w:tcW w:w="23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lineRule="auto" w:line="300" w:before="0" w:after="0"/>
              <w:jc w:val="left"/>
              <w:rPr/>
            </w:pPr>
            <w:r>
              <w:rPr/>
              <w:t>   </w:t>
            </w:r>
            <w:r>
              <w:rPr/>
              <w:t>Annual Active Buyers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lineRule="auto" w:line="300" w:before="0" w:after="0"/>
              <w:jc w:val="right"/>
              <w:rPr/>
            </w:pPr>
            <w:r>
              <w:rPr/>
              <w:t>2,676</w:t>
            </w:r>
          </w:p>
        </w:tc>
        <w:tc>
          <w:tcPr>
            <w:tcW w:w="23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lineRule="auto" w:line="300" w:before="0" w:after="0"/>
              <w:jc w:val="right"/>
              <w:rPr/>
            </w:pPr>
            <w:r>
              <w:rPr/>
              <w:t>3,425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2,676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3,425</w:t>
            </w:r>
          </w:p>
        </w:tc>
        <w:tc>
          <w:tcPr>
            <w:tcW w:w="230"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lineRule="auto" w:line="300" w:before="0" w:after="0"/>
              <w:jc w:val="left"/>
              <w:rPr/>
            </w:pPr>
            <w:r>
              <w:rPr/>
              <w:t>   </w:t>
            </w:r>
            <w:r>
              <w:rPr/>
              <w:t>Annual Spend per Buyer</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lineRule="auto" w:line="300" w:before="0" w:after="0"/>
              <w:jc w:val="left"/>
              <w:rPr/>
            </w:pPr>
            <w:r>
              <w:rPr/>
              <w:t>$</w:t>
            </w:r>
          </w:p>
        </w:tc>
        <w:tc>
          <w:tcPr>
            <w:tcW w:w="738" w:type="dxa"/>
            <w:tcBorders/>
            <w:shd w:fill="CCEEFF" w:val="clear"/>
            <w:vAlign w:val="bottom"/>
          </w:tcPr>
          <w:p>
            <w:pPr>
              <w:pStyle w:val="TableContents"/>
              <w:bidi w:val="0"/>
              <w:spacing w:lineRule="auto" w:line="300" w:before="0" w:after="0"/>
              <w:jc w:val="right"/>
              <w:rPr/>
            </w:pPr>
            <w:r>
              <w:rPr/>
              <w:t>368</w:t>
            </w:r>
          </w:p>
        </w:tc>
        <w:tc>
          <w:tcPr>
            <w:tcW w:w="23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lineRule="auto" w:line="300" w:before="0" w:after="0"/>
              <w:jc w:val="left"/>
              <w:rPr/>
            </w:pPr>
            <w:r>
              <w:rPr/>
              <w:t>$</w:t>
            </w:r>
          </w:p>
        </w:tc>
        <w:tc>
          <w:tcPr>
            <w:tcW w:w="868" w:type="dxa"/>
            <w:tcBorders/>
            <w:shd w:fill="CCEEFF" w:val="clear"/>
            <w:vAlign w:val="bottom"/>
          </w:tcPr>
          <w:p>
            <w:pPr>
              <w:pStyle w:val="TableContents"/>
              <w:bidi w:val="0"/>
              <w:spacing w:lineRule="auto" w:line="300" w:before="0" w:after="0"/>
              <w:jc w:val="right"/>
              <w:rPr/>
            </w:pPr>
            <w:r>
              <w:rPr/>
              <w:t>318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800" w:type="dxa"/>
            <w:tcBorders/>
            <w:shd w:fill="CCEEFF" w:val="clear"/>
            <w:vAlign w:val="bottom"/>
          </w:tcPr>
          <w:p>
            <w:pPr>
              <w:pStyle w:val="TableContents"/>
              <w:bidi w:val="0"/>
              <w:spacing w:lineRule="auto" w:line="300" w:before="0" w:after="0"/>
              <w:jc w:val="right"/>
              <w:rPr/>
            </w:pPr>
            <w:r>
              <w:rPr/>
              <w:t>368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800" w:type="dxa"/>
            <w:tcBorders/>
            <w:shd w:fill="CCEEFF" w:val="clear"/>
            <w:vAlign w:val="bottom"/>
          </w:tcPr>
          <w:p>
            <w:pPr>
              <w:pStyle w:val="TableContents"/>
              <w:bidi w:val="0"/>
              <w:spacing w:lineRule="auto" w:line="300" w:before="0" w:after="0"/>
              <w:jc w:val="right"/>
              <w:rPr/>
            </w:pPr>
            <w:r>
              <w:rPr/>
              <w:t>318</w:t>
            </w:r>
          </w:p>
        </w:tc>
        <w:tc>
          <w:tcPr>
            <w:tcW w:w="23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lineRule="auto" w:line="300" w:before="0" w:after="0"/>
              <w:jc w:val="left"/>
              <w:rPr/>
            </w:pPr>
            <w:r>
              <w:rPr/>
              <w:t>   </w:t>
            </w:r>
            <w:r>
              <w:rPr/>
              <w:t>Marketplace Take Rate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lineRule="auto" w:line="300" w:before="0" w:after="0"/>
              <w:jc w:val="right"/>
              <w:rPr/>
            </w:pPr>
            <w:r>
              <w:rPr/>
              <w:t>28.0</w:t>
            </w:r>
          </w:p>
        </w:tc>
        <w:tc>
          <w:tcPr>
            <w:tcW w:w="233" w:type="dxa"/>
            <w:tcBorders/>
            <w:vAlign w:val="bottom"/>
          </w:tcPr>
          <w:p>
            <w:pPr>
              <w:pStyle w:val="TableContents"/>
              <w:bidi w:val="0"/>
              <w:spacing w:lineRule="auto" w:line="300" w:before="0" w:after="0"/>
              <w:jc w:val="left"/>
              <w:rPr/>
            </w:pPr>
            <w:r>
              <w:rPr/>
              <w:t>%</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lineRule="auto" w:line="300" w:before="0" w:after="0"/>
              <w:jc w:val="right"/>
              <w:rPr/>
            </w:pPr>
            <w:r>
              <w:rPr/>
              <w:t>27.6</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28.0</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27.6</w:t>
            </w:r>
          </w:p>
        </w:tc>
        <w:tc>
          <w:tcPr>
            <w:tcW w:w="230" w:type="dxa"/>
            <w:tcBorders/>
            <w:vAlign w:val="bottom"/>
          </w:tcPr>
          <w:p>
            <w:pPr>
              <w:pStyle w:val="TableContents"/>
              <w:bidi w:val="0"/>
              <w:spacing w:lineRule="auto" w:line="300" w:before="0" w:after="0"/>
              <w:jc w:val="left"/>
              <w:rPr/>
            </w:pPr>
            <w:r>
              <w:rPr/>
              <w:t>%</w:t>
            </w:r>
          </w:p>
        </w:tc>
      </w:tr>
      <w:tr>
        <w:trPr/>
        <w:tc>
          <w:tcPr>
            <w:tcW w:w="25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lineRule="auto" w:line="300" w:before="0" w:after="0"/>
              <w:jc w:val="left"/>
              <w:rPr/>
            </w:pPr>
            <w:r>
              <w:rPr/>
              <w:t>Services Revenue</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738" w:type="dxa"/>
            <w:tcBorders>
              <w:bottom w:val="single" w:sz="12" w:space="0" w:color="000000"/>
            </w:tcBorders>
            <w:tcMar>
              <w:bottom w:w="28" w:type="dxa"/>
            </w:tcMar>
            <w:vAlign w:val="bottom"/>
          </w:tcPr>
          <w:p>
            <w:pPr>
              <w:pStyle w:val="TableContents"/>
              <w:bidi w:val="0"/>
              <w:spacing w:lineRule="auto" w:line="300" w:before="0" w:after="0"/>
              <w:jc w:val="right"/>
              <w:rPr/>
            </w:pPr>
            <w:r>
              <w:rPr/>
              <w:t>34,642</w:t>
            </w:r>
          </w:p>
        </w:tc>
        <w:tc>
          <w:tcPr>
            <w:tcW w:w="23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868" w:type="dxa"/>
            <w:tcBorders>
              <w:bottom w:val="single" w:sz="12" w:space="0" w:color="000000"/>
            </w:tcBorders>
            <w:tcMar>
              <w:bottom w:w="28" w:type="dxa"/>
            </w:tcMar>
            <w:vAlign w:val="bottom"/>
          </w:tcPr>
          <w:p>
            <w:pPr>
              <w:pStyle w:val="TableContents"/>
              <w:bidi w:val="0"/>
              <w:spacing w:lineRule="auto" w:line="300" w:before="0" w:after="0"/>
              <w:jc w:val="right"/>
              <w:rPr/>
            </w:pPr>
            <w:r>
              <w:rPr/>
              <w:t>33,959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72,999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lineRule="auto" w:line="300" w:before="0" w:after="0"/>
              <w:jc w:val="left"/>
              <w:rPr/>
            </w:pPr>
            <w:r>
              <w:rPr/>
              <w:t>$</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63,469</w:t>
            </w:r>
          </w:p>
        </w:tc>
        <w:tc>
          <w:tcPr>
            <w:tcW w:w="230"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lineRule="auto" w:line="300" w:before="0" w:after="0"/>
              <w:jc w:val="left"/>
              <w:rPr/>
            </w:pPr>
            <w:r>
              <w:rPr/>
              <w:t>Total Revenue</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73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97,783</w:t>
            </w:r>
          </w:p>
        </w:tc>
        <w:tc>
          <w:tcPr>
            <w:tcW w:w="23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6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108,648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203,274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215,832</w:t>
            </w:r>
          </w:p>
        </w:tc>
        <w:tc>
          <w:tcPr>
            <w:tcW w:w="23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center"/>
        <w:rPr/>
      </w:pPr>
      <w:r>
        <w:rPr/>
      </w:r>
    </w:p>
    <w:p>
      <w:pPr>
        <w:pStyle w:val="TextBody"/>
        <w:bidi w:val="0"/>
        <w:spacing w:lineRule="auto" w:line="300" w:before="0" w:after="0"/>
        <w:ind w:left="720" w:right="0" w:hanging="0"/>
        <w:jc w:val="left"/>
        <w:rPr>
          <w:rFonts w:ascii="Times New Roman;Times;serif" w:hAnsi="Times New Roman;Times;serif"/>
          <w:color w:val="000000"/>
          <w:sz w:val="20"/>
        </w:rPr>
      </w:pPr>
      <w:r>
        <w:rPr>
          <w:rFonts w:ascii="Times New Roman;Times;serif" w:hAnsi="Times New Roman;Times;serif"/>
          <w:b/>
          <w:color w:val="000000"/>
          <w:sz w:val="20"/>
        </w:rPr>
        <w:t>1.</w:t>
      </w:r>
      <w:r>
        <w:rPr>
          <w:rFonts w:ascii="Times New Roman;Times;serif" w:hAnsi="Times New Roman;Times;serif"/>
          <w:color w:val="000000"/>
          <w:sz w:val="20"/>
        </w:rPr>
        <w:t xml:space="preserve">        </w:t>
      </w:r>
      <w:r>
        <w:rPr>
          <w:rFonts w:ascii="Times New Roman;Times;serif" w:hAnsi="Times New Roman;Times;serif"/>
          <w:b/>
          <w:color w:val="000000"/>
          <w:sz w:val="20"/>
        </w:rPr>
        <w:t>Except for Annual Spend per Buyer and Marketplace Take Rate.</w:t>
      </w:r>
    </w:p>
    <w:p>
      <w:pPr>
        <w:pStyle w:val="TextBody"/>
        <w:bidi w:val="0"/>
        <w:spacing w:lineRule="auto" w:line="300" w:before="0" w:after="0"/>
        <w:ind w:left="720" w:right="0" w:hanging="0"/>
        <w:jc w:val="left"/>
        <w:rPr>
          <w:b/>
        </w:rPr>
      </w:pPr>
      <w:r>
        <w:rPr>
          <w:b/>
        </w:rPr>
      </w:r>
    </w:p>
    <w:p>
      <w:pPr>
        <w:pStyle w:val="TextBody"/>
        <w:bidi w:val="0"/>
        <w:spacing w:lineRule="auto" w:line="300" w:before="0" w:after="0"/>
        <w:ind w:left="720" w:right="0" w:hanging="0"/>
        <w:jc w:val="center"/>
        <w:rPr>
          <w:rFonts w:ascii="Times New Roman;Times;serif" w:hAnsi="Times New Roman;Times;serif"/>
          <w:b/>
          <w:color w:val="000000"/>
          <w:sz w:val="20"/>
        </w:rPr>
      </w:pPr>
      <w:r>
        <w:rPr>
          <w:rFonts w:ascii="Times New Roman;Times;serif" w:hAnsi="Times New Roman;Times;serif"/>
          <w:b/>
          <w:color w:val="000000"/>
          <w:sz w:val="20"/>
        </w:rPr>
        <w:t>RECONCILIATION OF GAAP TO NON-GAAP GROSS PROFIT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 except gross margin data)</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5" w:name="z6d240fb87c164c9395d77cdc09c5b616"/>
      <w:bookmarkStart w:id="46" w:name="z6d240fb87c164c9395d77cdc09c5b616"/>
      <w:bookmarkEnd w:id="46"/>
    </w:p>
    <w:tbl>
      <w:tblPr>
        <w:tblW w:w="10205" w:type="dxa"/>
        <w:jc w:val="left"/>
        <w:tblInd w:w="0" w:type="dxa"/>
        <w:tblLayout w:type="fixed"/>
        <w:tblCellMar>
          <w:top w:w="0" w:type="dxa"/>
          <w:left w:w="0" w:type="dxa"/>
          <w:bottom w:w="0" w:type="dxa"/>
          <w:right w:w="0" w:type="dxa"/>
        </w:tblCellMar>
      </w:tblPr>
      <w:tblGrid>
        <w:gridCol w:w="1985"/>
        <w:gridCol w:w="60"/>
        <w:gridCol w:w="140"/>
        <w:gridCol w:w="680"/>
        <w:gridCol w:w="215"/>
        <w:gridCol w:w="60"/>
        <w:gridCol w:w="140"/>
        <w:gridCol w:w="680"/>
        <w:gridCol w:w="215"/>
        <w:gridCol w:w="60"/>
        <w:gridCol w:w="140"/>
        <w:gridCol w:w="680"/>
        <w:gridCol w:w="215"/>
        <w:gridCol w:w="60"/>
        <w:gridCol w:w="140"/>
        <w:gridCol w:w="680"/>
        <w:gridCol w:w="215"/>
        <w:gridCol w:w="60"/>
        <w:gridCol w:w="140"/>
        <w:gridCol w:w="680"/>
        <w:gridCol w:w="215"/>
        <w:gridCol w:w="60"/>
        <w:gridCol w:w="162"/>
        <w:gridCol w:w="934"/>
        <w:gridCol w:w="215"/>
        <w:gridCol w:w="60"/>
        <w:gridCol w:w="162"/>
        <w:gridCol w:w="934"/>
        <w:gridCol w:w="218"/>
      </w:tblGrid>
      <w:tr>
        <w:trPr/>
        <w:tc>
          <w:tcPr>
            <w:tcW w:w="198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Q2'25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Q3'25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Q4'25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Q1'26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Q2'26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2025</w:t>
            </w:r>
          </w:p>
        </w:tc>
        <w:tc>
          <w:tcPr>
            <w:tcW w:w="218" w:type="dxa"/>
            <w:tcBorders/>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5" w:type="dxa"/>
            <w:gridSpan w:val="6"/>
            <w:tcBorders/>
            <w:vAlign w:val="bottom"/>
          </w:tcPr>
          <w:p>
            <w:pPr>
              <w:pStyle w:val="TableContents"/>
              <w:bidi w:val="0"/>
              <w:spacing w:lineRule="auto" w:line="300" w:before="0" w:after="0"/>
              <w:jc w:val="center"/>
              <w:rPr/>
            </w:pPr>
            <w:r>
              <w:rPr/>
              <w:t>(Unaudited)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lineRule="auto" w:line="300" w:before="0" w:after="0"/>
              <w:jc w:val="center"/>
              <w:rPr/>
            </w:pPr>
            <w:r>
              <w:rPr/>
              <w:t>(Unaudited)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lineRule="auto" w:line="300" w:before="0" w:after="0"/>
              <w:jc w:val="center"/>
              <w:rPr/>
            </w:pPr>
            <w:r>
              <w:rPr/>
              <w:t>(Unaudited)</w:t>
            </w:r>
          </w:p>
        </w:tc>
        <w:tc>
          <w:tcPr>
            <w:tcW w:w="218" w:type="dxa"/>
            <w:tcBorders/>
            <w:vAlign w:val="bottom"/>
          </w:tcPr>
          <w:p>
            <w:pPr>
              <w:pStyle w:val="TableContents"/>
              <w:bidi w:val="0"/>
              <w:spacing w:before="0" w:after="283"/>
              <w:jc w:val="left"/>
              <w:rPr/>
            </w:pPr>
            <w:r>
              <w:rPr/>
              <w:t> </w:t>
            </w:r>
          </w:p>
        </w:tc>
      </w:tr>
      <w:tr>
        <w:trPr/>
        <w:tc>
          <w:tcPr>
            <w:tcW w:w="1985" w:type="dxa"/>
            <w:tcBorders/>
            <w:shd w:fill="CCEEFF" w:val="clear"/>
            <w:vAlign w:val="bottom"/>
          </w:tcPr>
          <w:p>
            <w:pPr>
              <w:pStyle w:val="TableContents"/>
              <w:bidi w:val="0"/>
              <w:spacing w:lineRule="auto" w:line="300" w:before="0" w:after="0"/>
              <w:jc w:val="left"/>
              <w:rPr/>
            </w:pPr>
            <w:r>
              <w:rPr/>
              <w:t>GAAP 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88,264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88,137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88,304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86,658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79,931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lineRule="auto" w:line="300" w:before="0" w:after="0"/>
              <w:jc w:val="left"/>
              <w:rPr/>
            </w:pPr>
            <w:r>
              <w:rPr/>
              <w:t>$</w:t>
            </w:r>
          </w:p>
        </w:tc>
        <w:tc>
          <w:tcPr>
            <w:tcW w:w="934" w:type="dxa"/>
            <w:tcBorders/>
            <w:shd w:fill="CCEEFF" w:val="clear"/>
            <w:vAlign w:val="bottom"/>
          </w:tcPr>
          <w:p>
            <w:pPr>
              <w:pStyle w:val="TableContents"/>
              <w:bidi w:val="0"/>
              <w:spacing w:lineRule="auto" w:line="300" w:before="0" w:after="0"/>
              <w:jc w:val="right"/>
              <w:rPr/>
            </w:pPr>
            <w:r>
              <w:rPr/>
              <w:t>320,915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lineRule="auto" w:line="300" w:before="0" w:after="0"/>
              <w:jc w:val="left"/>
              <w:rPr/>
            </w:pPr>
            <w:r>
              <w:rPr/>
              <w:t>$</w:t>
            </w:r>
          </w:p>
        </w:tc>
        <w:tc>
          <w:tcPr>
            <w:tcW w:w="934" w:type="dxa"/>
            <w:tcBorders/>
            <w:shd w:fill="CCEEFF" w:val="clear"/>
            <w:vAlign w:val="bottom"/>
          </w:tcPr>
          <w:p>
            <w:pPr>
              <w:pStyle w:val="TableContents"/>
              <w:bidi w:val="0"/>
              <w:spacing w:lineRule="auto" w:line="300" w:before="0" w:after="0"/>
              <w:jc w:val="right"/>
              <w:rPr/>
            </w:pPr>
            <w:r>
              <w:rPr/>
              <w:t>351,493</w:t>
            </w:r>
          </w:p>
        </w:tc>
        <w:tc>
          <w:tcPr>
            <w:tcW w:w="218" w:type="dxa"/>
            <w:tcBorders/>
            <w:shd w:fill="CCEEFF" w:val="clear"/>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lineRule="auto" w:line="300" w:before="0" w:after="0"/>
              <w:jc w:val="left"/>
              <w:rPr/>
            </w:pPr>
            <w:r>
              <w:rPr/>
              <w:t>Add: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r>
      <w:tr>
        <w:trPr/>
        <w:tc>
          <w:tcPr>
            <w:tcW w:w="1985" w:type="dxa"/>
            <w:tcBorders/>
            <w:shd w:fill="CCEEFF" w:val="clear"/>
            <w:vAlign w:val="bottom"/>
          </w:tcPr>
          <w:p>
            <w:pPr>
              <w:pStyle w:val="TableContents"/>
              <w:bidi w:val="0"/>
              <w:spacing w:lineRule="auto" w:line="300" w:before="0" w:after="0"/>
              <w:jc w:val="left"/>
              <w:rPr/>
            </w:pPr>
            <w:r>
              <w:rPr/>
              <w:t>Share-based compensation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403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365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39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256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247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lineRule="auto" w:line="300" w:before="0" w:after="0"/>
              <w:jc w:val="right"/>
              <w:rPr/>
            </w:pPr>
            <w:r>
              <w:rPr/>
              <w:t>2,136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lineRule="auto" w:line="300" w:before="0" w:after="0"/>
              <w:jc w:val="right"/>
              <w:rPr/>
            </w:pPr>
            <w:r>
              <w:rPr/>
              <w:t>1,230</w:t>
            </w:r>
          </w:p>
        </w:tc>
        <w:tc>
          <w:tcPr>
            <w:tcW w:w="218" w:type="dxa"/>
            <w:tcBorders/>
            <w:shd w:fill="CCEEFF" w:val="clear"/>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lineRule="auto" w:line="300" w:before="0" w:after="0"/>
              <w:jc w:val="left"/>
              <w:rPr/>
            </w:pPr>
            <w:r>
              <w:rPr/>
              <w:t>Depreciation and amortization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3,155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2,186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2,446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2,582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2,605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lineRule="auto" w:line="300" w:before="0" w:after="0"/>
              <w:jc w:val="right"/>
              <w:rPr/>
            </w:pPr>
            <w:r>
              <w:rPr/>
              <w:t>7,017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lineRule="auto" w:line="300" w:before="0" w:after="0"/>
              <w:jc w:val="right"/>
              <w:rPr/>
            </w:pPr>
            <w:r>
              <w:rPr/>
              <w:t>10,951</w:t>
            </w:r>
          </w:p>
        </w:tc>
        <w:tc>
          <w:tcPr>
            <w:tcW w:w="218" w:type="dxa"/>
            <w:tcBorders/>
            <w:vAlign w:val="bottom"/>
          </w:tcPr>
          <w:p>
            <w:pPr>
              <w:pStyle w:val="TableContents"/>
              <w:bidi w:val="0"/>
              <w:spacing w:before="0" w:after="283"/>
              <w:jc w:val="left"/>
              <w:rPr/>
            </w:pPr>
            <w:r>
              <w:rPr/>
              <w:t> </w:t>
            </w:r>
          </w:p>
        </w:tc>
      </w:tr>
      <w:tr>
        <w:trPr/>
        <w:tc>
          <w:tcPr>
            <w:tcW w:w="1985" w:type="dxa"/>
            <w:tcBorders/>
            <w:shd w:fill="CCEEFF" w:val="clear"/>
            <w:vAlign w:val="bottom"/>
          </w:tcPr>
          <w:p>
            <w:pPr>
              <w:pStyle w:val="TableContents"/>
              <w:bidi w:val="0"/>
              <w:spacing w:lineRule="auto" w:line="300" w:before="0" w:after="0"/>
              <w:jc w:val="left"/>
              <w:rPr/>
            </w:pPr>
            <w:r>
              <w:rPr/>
              <w:t>Restructuring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238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(35</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lineRule="auto" w:line="300"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lineRule="auto" w:line="300" w:before="0" w:after="0"/>
              <w:jc w:val="right"/>
              <w:rPr/>
            </w:pPr>
            <w:r>
              <w:rPr/>
              <w:t>203</w:t>
            </w:r>
          </w:p>
        </w:tc>
        <w:tc>
          <w:tcPr>
            <w:tcW w:w="218" w:type="dxa"/>
            <w:tcBorders/>
            <w:shd w:fill="CCEEFF" w:val="clear"/>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lineRule="auto" w:line="300" w:before="0" w:after="0"/>
              <w:jc w:val="left"/>
              <w:rPr/>
            </w:pPr>
            <w:r>
              <w:rPr/>
              <w:t>Earn-out revaluation, acquisition related costs and other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(43</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4" w:type="dxa"/>
            <w:tcBorders>
              <w:bottom w:val="single" w:sz="12" w:space="0" w:color="000000"/>
            </w:tcBorders>
            <w:tcMar>
              <w:bottom w:w="28" w:type="dxa"/>
            </w:tcMar>
            <w:vAlign w:val="bottom"/>
          </w:tcPr>
          <w:p>
            <w:pPr>
              <w:pStyle w:val="TableContents"/>
              <w:bidi w:val="0"/>
              <w:spacing w:lineRule="auto" w:line="300" w:before="0" w:after="0"/>
              <w:jc w:val="right"/>
              <w:rPr/>
            </w:pPr>
            <w:r>
              <w:rPr/>
              <w:t>28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4" w:type="dxa"/>
            <w:tcBorders>
              <w:bottom w:val="single" w:sz="12" w:space="0" w:color="000000"/>
            </w:tcBorders>
            <w:tcMar>
              <w:bottom w:w="28" w:type="dxa"/>
            </w:tcMar>
            <w:vAlign w:val="bottom"/>
          </w:tcPr>
          <w:p>
            <w:pPr>
              <w:pStyle w:val="TableContents"/>
              <w:bidi w:val="0"/>
              <w:spacing w:lineRule="auto" w:line="300" w:before="0" w:after="0"/>
              <w:jc w:val="right"/>
              <w:rPr/>
            </w:pPr>
            <w:r>
              <w:rPr/>
              <w:t>7</w:t>
            </w:r>
          </w:p>
        </w:tc>
        <w:tc>
          <w:tcPr>
            <w:tcW w:w="218" w:type="dxa"/>
            <w:tcBorders/>
            <w:vAlign w:val="bottom"/>
          </w:tcPr>
          <w:p>
            <w:pPr>
              <w:pStyle w:val="TableContents"/>
              <w:bidi w:val="0"/>
              <w:spacing w:before="0" w:after="283"/>
              <w:jc w:val="left"/>
              <w:rPr/>
            </w:pPr>
            <w:r>
              <w:rPr/>
              <w:t> </w:t>
            </w:r>
          </w:p>
        </w:tc>
      </w:tr>
      <w:tr>
        <w:trPr/>
        <w:tc>
          <w:tcPr>
            <w:tcW w:w="1985" w:type="dxa"/>
            <w:tcBorders/>
            <w:shd w:fill="CCEEFF" w:val="clear"/>
            <w:vAlign w:val="bottom"/>
          </w:tcPr>
          <w:p>
            <w:pPr>
              <w:pStyle w:val="TableContents"/>
              <w:bidi w:val="0"/>
              <w:spacing w:lineRule="auto" w:line="300" w:before="0" w:after="0"/>
              <w:jc w:val="left"/>
              <w:rPr/>
            </w:pPr>
            <w:r>
              <w:rPr/>
              <w:t>Non-GAAP 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91,822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90,883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90,760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89,502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82,789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93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330,096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93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363,884</w:t>
            </w:r>
          </w:p>
        </w:tc>
        <w:tc>
          <w:tcPr>
            <w:tcW w:w="218" w:type="dxa"/>
            <w:tcBorders/>
            <w:shd w:fill="CCEEFF" w:val="clear"/>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lineRule="auto" w:line="300" w:before="0" w:after="0"/>
              <w:jc w:val="left"/>
              <w:rPr/>
            </w:pPr>
            <w:r>
              <w:rPr/>
              <w:t>Non-GAAP gross margin</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84.5</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84.2</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84.7</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84.8</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84.7</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62" w:type="dxa"/>
            <w:tcBorders>
              <w:bottom w:val="double" w:sz="8" w:space="0" w:color="000000"/>
            </w:tcBorders>
            <w:tcMar>
              <w:bottom w:w="28" w:type="dxa"/>
            </w:tcMar>
            <w:vAlign w:val="bottom"/>
          </w:tcPr>
          <w:p>
            <w:pPr>
              <w:pStyle w:val="TableContents"/>
              <w:bidi w:val="0"/>
              <w:spacing w:before="0" w:after="283"/>
              <w:jc w:val="left"/>
              <w:rPr/>
            </w:pPr>
            <w:r>
              <w:rPr/>
              <w:t> </w:t>
            </w:r>
          </w:p>
        </w:tc>
        <w:tc>
          <w:tcPr>
            <w:tcW w:w="934" w:type="dxa"/>
            <w:tcBorders>
              <w:bottom w:val="double" w:sz="8" w:space="0" w:color="000000"/>
            </w:tcBorders>
            <w:tcMar>
              <w:bottom w:w="28" w:type="dxa"/>
            </w:tcMar>
            <w:vAlign w:val="bottom"/>
          </w:tcPr>
          <w:p>
            <w:pPr>
              <w:pStyle w:val="TableContents"/>
              <w:bidi w:val="0"/>
              <w:spacing w:lineRule="auto" w:line="300" w:before="0" w:after="0"/>
              <w:jc w:val="right"/>
              <w:rPr/>
            </w:pPr>
            <w:r>
              <w:rPr/>
              <w:t>84.3</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62" w:type="dxa"/>
            <w:tcBorders>
              <w:bottom w:val="double" w:sz="8" w:space="0" w:color="000000"/>
            </w:tcBorders>
            <w:tcMar>
              <w:bottom w:w="28" w:type="dxa"/>
            </w:tcMar>
            <w:vAlign w:val="bottom"/>
          </w:tcPr>
          <w:p>
            <w:pPr>
              <w:pStyle w:val="TableContents"/>
              <w:bidi w:val="0"/>
              <w:spacing w:before="0" w:after="283"/>
              <w:jc w:val="left"/>
              <w:rPr/>
            </w:pPr>
            <w:r>
              <w:rPr/>
              <w:t> </w:t>
            </w:r>
          </w:p>
        </w:tc>
        <w:tc>
          <w:tcPr>
            <w:tcW w:w="934" w:type="dxa"/>
            <w:tcBorders>
              <w:bottom w:val="double" w:sz="8" w:space="0" w:color="000000"/>
            </w:tcBorders>
            <w:tcMar>
              <w:bottom w:w="28" w:type="dxa"/>
            </w:tcMar>
            <w:vAlign w:val="bottom"/>
          </w:tcPr>
          <w:p>
            <w:pPr>
              <w:pStyle w:val="TableContents"/>
              <w:bidi w:val="0"/>
              <w:spacing w:lineRule="auto" w:line="300" w:before="0" w:after="0"/>
              <w:jc w:val="right"/>
              <w:rPr/>
            </w:pPr>
            <w:r>
              <w:rPr/>
              <w:t>84.4</w:t>
            </w:r>
          </w:p>
        </w:tc>
        <w:tc>
          <w:tcPr>
            <w:tcW w:w="218" w:type="dxa"/>
            <w:tcBorders/>
            <w:vAlign w:val="bottom"/>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RECONCILIATION OF GAAP NET INCOME TO NON-GAAP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NET INCOME AND NET INCOME PER SHARE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data)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7" w:name="z7a096c66b1b74862817351029d71d39c"/>
      <w:bookmarkStart w:id="48" w:name="z7a096c66b1b74862817351029d71d39c"/>
      <w:bookmarkEnd w:id="48"/>
    </w:p>
    <w:tbl>
      <w:tblPr>
        <w:tblW w:w="11120" w:type="dxa"/>
        <w:jc w:val="left"/>
        <w:tblInd w:w="0" w:type="dxa"/>
        <w:tblLayout w:type="fixed"/>
        <w:tblCellMar>
          <w:top w:w="0" w:type="dxa"/>
          <w:left w:w="0" w:type="dxa"/>
          <w:bottom w:w="0" w:type="dxa"/>
          <w:right w:w="0" w:type="dxa"/>
        </w:tblCellMar>
      </w:tblPr>
      <w:tblGrid>
        <w:gridCol w:w="1340"/>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110"/>
      </w:tblGrid>
      <w:tr>
        <w:trPr/>
        <w:tc>
          <w:tcPr>
            <w:tcW w:w="1340"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Q2'25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Q3'25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Q4'25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Q1'26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Q2'26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2025</w:t>
            </w:r>
          </w:p>
        </w:tc>
        <w:tc>
          <w:tcPr>
            <w:tcW w:w="11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0" w:type="dxa"/>
            <w:gridSpan w:val="18"/>
            <w:tcBorders/>
            <w:vAlign w:val="bottom"/>
          </w:tcPr>
          <w:p>
            <w:pPr>
              <w:pStyle w:val="TableContents"/>
              <w:bidi w:val="0"/>
              <w:spacing w:lineRule="auto" w:line="300" w:before="0" w:after="0"/>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lineRule="auto" w:line="300" w:before="0" w:after="0"/>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lineRule="auto" w:line="300" w:before="0" w:after="0"/>
              <w:jc w:val="center"/>
              <w:rPr/>
            </w:pPr>
            <w:r>
              <w:rPr/>
              <w:t>(Unaudited)</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lineRule="auto" w:line="300" w:before="0" w:after="0"/>
              <w:jc w:val="left"/>
              <w:rPr/>
            </w:pPr>
            <w:r>
              <w:rPr/>
              <w:t>GAAP net income attributable to ordinary shareholders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0" w:type="dxa"/>
            <w:tcBorders/>
            <w:shd w:fill="CCEEFF" w:val="clear"/>
            <w:vAlign w:val="bottom"/>
          </w:tcPr>
          <w:p>
            <w:pPr>
              <w:pStyle w:val="TableContents"/>
              <w:bidi w:val="0"/>
              <w:spacing w:lineRule="auto" w:line="300" w:before="0" w:after="0"/>
              <w:jc w:val="right"/>
              <w:rPr/>
            </w:pPr>
            <w:r>
              <w:rPr/>
              <w:t>3,188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0" w:type="dxa"/>
            <w:tcBorders/>
            <w:shd w:fill="CCEEFF" w:val="clear"/>
            <w:vAlign w:val="bottom"/>
          </w:tcPr>
          <w:p>
            <w:pPr>
              <w:pStyle w:val="TableContents"/>
              <w:bidi w:val="0"/>
              <w:spacing w:lineRule="auto" w:line="300" w:before="0" w:after="0"/>
              <w:jc w:val="right"/>
              <w:rPr/>
            </w:pPr>
            <w:r>
              <w:rPr/>
              <w:t>5,537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0" w:type="dxa"/>
            <w:tcBorders/>
            <w:shd w:fill="CCEEFF" w:val="clear"/>
            <w:vAlign w:val="bottom"/>
          </w:tcPr>
          <w:p>
            <w:pPr>
              <w:pStyle w:val="TableContents"/>
              <w:bidi w:val="0"/>
              <w:spacing w:lineRule="auto" w:line="300" w:before="0" w:after="0"/>
              <w:jc w:val="right"/>
              <w:rPr/>
            </w:pPr>
            <w:r>
              <w:rPr/>
              <w:t>11,460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0" w:type="dxa"/>
            <w:tcBorders/>
            <w:shd w:fill="CCEEFF" w:val="clear"/>
            <w:vAlign w:val="bottom"/>
          </w:tcPr>
          <w:p>
            <w:pPr>
              <w:pStyle w:val="TableContents"/>
              <w:bidi w:val="0"/>
              <w:spacing w:lineRule="auto" w:line="300" w:before="0" w:after="0"/>
              <w:jc w:val="right"/>
              <w:rPr/>
            </w:pPr>
            <w:r>
              <w:rPr/>
              <w:t>8,564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0" w:type="dxa"/>
            <w:tcBorders/>
            <w:shd w:fill="CCEEFF" w:val="clear"/>
            <w:vAlign w:val="bottom"/>
          </w:tcPr>
          <w:p>
            <w:pPr>
              <w:pStyle w:val="TableContents"/>
              <w:bidi w:val="0"/>
              <w:spacing w:lineRule="auto" w:line="300" w:before="0" w:after="0"/>
              <w:jc w:val="right"/>
              <w:rPr/>
            </w:pPr>
            <w:r>
              <w:rPr/>
              <w:t>4,469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0" w:type="dxa"/>
            <w:tcBorders/>
            <w:shd w:fill="CCEEFF" w:val="clear"/>
            <w:vAlign w:val="bottom"/>
          </w:tcPr>
          <w:p>
            <w:pPr>
              <w:pStyle w:val="TableContents"/>
              <w:bidi w:val="0"/>
              <w:spacing w:lineRule="auto" w:line="300" w:before="0" w:after="0"/>
              <w:jc w:val="right"/>
              <w:rPr/>
            </w:pPr>
            <w:r>
              <w:rPr/>
              <w:t>18,246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1100" w:type="dxa"/>
            <w:tcBorders/>
            <w:shd w:fill="CCEEFF" w:val="clear"/>
            <w:vAlign w:val="bottom"/>
          </w:tcPr>
          <w:p>
            <w:pPr>
              <w:pStyle w:val="TableContents"/>
              <w:bidi w:val="0"/>
              <w:spacing w:lineRule="auto" w:line="300" w:before="0" w:after="0"/>
              <w:jc w:val="right"/>
              <w:rPr/>
            </w:pPr>
            <w:r>
              <w:rPr/>
              <w:t>20,983</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lineRule="auto" w:line="300" w:before="0" w:after="0"/>
              <w:jc w:val="left"/>
              <w:rPr/>
            </w:pPr>
            <w:r>
              <w:rPr/>
              <w:t>Add: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lineRule="auto" w:line="300" w:before="0" w:after="0"/>
              <w:jc w:val="left"/>
              <w:rPr/>
            </w:pPr>
            <w:r>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4,089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3,074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3,245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3,414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3,425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10,476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14,692</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lineRule="auto" w:line="300" w:before="0" w:after="0"/>
              <w:jc w:val="left"/>
              <w:rPr/>
            </w:pPr>
            <w:r>
              <w:rPr/>
              <w:t>Share-based compensation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14,055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11,925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9,655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8,982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8,223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73,942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51,389</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lineRule="auto" w:line="300" w:before="0" w:after="0"/>
              <w:jc w:val="left"/>
              <w:rPr/>
            </w:pPr>
            <w:r>
              <w:rPr/>
              <w:t>Impairment of intangible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2,400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2,400</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lineRule="auto" w:line="300" w:before="0" w:after="0"/>
              <w:jc w:val="left"/>
              <w:rPr/>
            </w:pPr>
            <w:r>
              <w:rPr/>
              <w:t>Restructuring costs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3,567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(143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3,424</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lineRule="auto" w:line="300" w:before="0" w:after="0"/>
              <w:jc w:val="left"/>
              <w:rPr/>
            </w:pPr>
            <w:r>
              <w:rPr/>
              <w:t>Earn-out revaluation, acquisition related costs and other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5,294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3,111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7,854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1,725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1,496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5,631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20,858</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lineRule="auto" w:line="300" w:before="0" w:after="0"/>
              <w:jc w:val="left"/>
              <w:rPr/>
            </w:pPr>
            <w:r>
              <w:rPr/>
              <w:t>Convertible notes amortization of discount and issuance costs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642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643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214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2,555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pPr>
            <w:r>
              <w:rPr/>
              <w:t>2,140</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lineRule="auto" w:line="300" w:before="0" w:after="0"/>
              <w:jc w:val="left"/>
              <w:rPr/>
            </w:pPr>
            <w:r>
              <w:rPr/>
              <w:t>Taxes on income related to non-GAAP adjustments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(351</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(235</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(268</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(278</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(281</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(16,610</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pPr>
            <w:r>
              <w:rPr/>
              <w:t>(1,234</w:t>
            </w:r>
          </w:p>
        </w:tc>
        <w:tc>
          <w:tcPr>
            <w:tcW w:w="110" w:type="dxa"/>
            <w:tcBorders/>
            <w:shd w:fill="CCEEFF" w:val="clear"/>
            <w:vAlign w:val="bottom"/>
          </w:tcPr>
          <w:p>
            <w:pPr>
              <w:pStyle w:val="TableContents"/>
              <w:bidi w:val="0"/>
              <w:spacing w:lineRule="auto" w:line="300" w:before="0" w:after="0"/>
              <w:jc w:val="left"/>
              <w:rPr/>
            </w:pPr>
            <w:r>
              <w:rPr/>
              <w:t>)</w:t>
            </w:r>
          </w:p>
        </w:tc>
      </w:tr>
      <w:tr>
        <w:trPr/>
        <w:tc>
          <w:tcPr>
            <w:tcW w:w="1340" w:type="dxa"/>
            <w:tcBorders/>
            <w:vAlign w:val="bottom"/>
          </w:tcPr>
          <w:p>
            <w:pPr>
              <w:pStyle w:val="TableContents"/>
              <w:bidi w:val="0"/>
              <w:spacing w:lineRule="auto" w:line="300" w:before="0" w:after="0"/>
              <w:jc w:val="left"/>
              <w:rPr/>
            </w:pPr>
            <w:r>
              <w:rPr/>
              <w:t>Exchange rate loss, net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531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431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126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463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1,008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859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446</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lineRule="auto" w:line="300" w:before="0" w:after="0"/>
              <w:jc w:val="left"/>
              <w:rPr/>
            </w:pPr>
            <w:r>
              <w:rPr/>
              <w:t xml:space="preserve">Non-GAAP net income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27,448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30,453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32,143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22,870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18,340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95,099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115,098</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lineRule="auto" w:line="300" w:before="0" w:after="0"/>
              <w:jc w:val="left"/>
              <w:rPr/>
            </w:pPr>
            <w:r>
              <w:rPr/>
              <w:t>Weighted average number of ordinary shares - basic</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36,585,998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36,415,189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36,107,120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35,971,243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36,313,450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36,984,757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pPr>
            <w:r>
              <w:rPr/>
              <w:t>36,281,883</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lineRule="auto" w:line="300" w:before="0" w:after="0"/>
              <w:jc w:val="left"/>
              <w:rPr/>
            </w:pPr>
            <w:r>
              <w:rPr/>
              <w:t>Non-GAAP basic net income per share attributable to ordinary shareholders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0.75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0.84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0.89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0.64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0.51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3.17</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lineRule="auto" w:line="300" w:before="0" w:after="0"/>
              <w:jc w:val="left"/>
              <w:rPr/>
            </w:pPr>
            <w:r>
              <w:rPr/>
              <w:t>Weighted average number of ordinary shares - diluted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39,653,165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39,391,560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37,387,076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36,601,102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36,558,208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39,994,015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38,969,647</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lineRule="auto" w:line="300" w:before="0" w:after="0"/>
              <w:jc w:val="left"/>
              <w:rPr/>
            </w:pPr>
            <w:r>
              <w:rPr/>
              <w:t>Non-GAAP diluted net income per share attributable to ordinary shareholders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pPr>
            <w:r>
              <w:rPr/>
              <w:t>0.69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pPr>
            <w:r>
              <w:rPr/>
              <w:t>0.77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pPr>
            <w:r>
              <w:rPr/>
              <w:t>0.86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pPr>
            <w:r>
              <w:rPr/>
              <w:t>0.62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0.50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pPr>
            <w:r>
              <w:rPr/>
              <w:t>2.38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pPr>
            <w:r>
              <w:rPr/>
              <w:t>2.95</w:t>
            </w:r>
          </w:p>
        </w:tc>
        <w:tc>
          <w:tcPr>
            <w:tcW w:w="110"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RECONCILIATION OF GAAP NET INCOME TO ADJUSTED EBITDA</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 except Adjusted EBITDA margin data)</w:t>
      </w:r>
    </w:p>
    <w:p>
      <w:pPr>
        <w:pStyle w:val="TextBody"/>
        <w:bidi w:val="0"/>
        <w:spacing w:lineRule="auto" w:line="300" w:before="0" w:after="0"/>
        <w:jc w:val="center"/>
        <w:rPr>
          <w:color w:val="000000"/>
        </w:rPr>
      </w:pPr>
      <w:r>
        <w:rPr>
          <w:color w:val="000000"/>
        </w:rPr>
        <w:t> </w:t>
      </w:r>
    </w:p>
    <w:p>
      <w:pPr>
        <w:pStyle w:val="Normal"/>
        <w:bidi w:val="0"/>
        <w:spacing w:before="0" w:after="0"/>
        <w:jc w:val="left"/>
        <w:rPr>
          <w:sz w:val="4"/>
          <w:szCs w:val="4"/>
        </w:rPr>
      </w:pPr>
      <w:r>
        <w:rPr>
          <w:sz w:val="4"/>
          <w:szCs w:val="4"/>
        </w:rPr>
      </w:r>
      <w:bookmarkStart w:id="49" w:name="z4885370200494449b9aa57fd4728e1fa"/>
      <w:bookmarkStart w:id="50" w:name="z4885370200494449b9aa57fd4728e1fa"/>
      <w:bookmarkEnd w:id="50"/>
    </w:p>
    <w:tbl>
      <w:tblPr>
        <w:tblW w:w="10205" w:type="dxa"/>
        <w:jc w:val="center"/>
        <w:tblInd w:w="0" w:type="dxa"/>
        <w:tblLayout w:type="fixed"/>
        <w:tblCellMar>
          <w:top w:w="0" w:type="dxa"/>
          <w:left w:w="0" w:type="dxa"/>
          <w:bottom w:w="0" w:type="dxa"/>
          <w:right w:w="0" w:type="dxa"/>
        </w:tblCellMar>
      </w:tblPr>
      <w:tblGrid>
        <w:gridCol w:w="1971"/>
        <w:gridCol w:w="60"/>
        <w:gridCol w:w="140"/>
        <w:gridCol w:w="680"/>
        <w:gridCol w:w="215"/>
        <w:gridCol w:w="60"/>
        <w:gridCol w:w="140"/>
        <w:gridCol w:w="680"/>
        <w:gridCol w:w="215"/>
        <w:gridCol w:w="60"/>
        <w:gridCol w:w="140"/>
        <w:gridCol w:w="680"/>
        <w:gridCol w:w="215"/>
        <w:gridCol w:w="60"/>
        <w:gridCol w:w="140"/>
        <w:gridCol w:w="680"/>
        <w:gridCol w:w="215"/>
        <w:gridCol w:w="60"/>
        <w:gridCol w:w="140"/>
        <w:gridCol w:w="680"/>
        <w:gridCol w:w="215"/>
        <w:gridCol w:w="60"/>
        <w:gridCol w:w="170"/>
        <w:gridCol w:w="926"/>
        <w:gridCol w:w="215"/>
        <w:gridCol w:w="60"/>
        <w:gridCol w:w="170"/>
        <w:gridCol w:w="926"/>
        <w:gridCol w:w="232"/>
      </w:tblGrid>
      <w:tr>
        <w:trPr/>
        <w:tc>
          <w:tcPr>
            <w:tcW w:w="1971"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Q2'25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Q3'25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Q4'25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Q1'26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Q2'26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2025</w:t>
            </w:r>
          </w:p>
        </w:tc>
        <w:tc>
          <w:tcPr>
            <w:tcW w:w="232" w:type="dxa"/>
            <w:tcBorders/>
            <w:vAlign w:val="bottom"/>
          </w:tcPr>
          <w:p>
            <w:pPr>
              <w:pStyle w:val="TableContents"/>
              <w:bidi w:val="0"/>
              <w:spacing w:before="0" w:after="283"/>
              <w:jc w:val="left"/>
              <w:rPr/>
            </w:pPr>
            <w:r>
              <w:rPr/>
              <w:t> </w:t>
            </w:r>
          </w:p>
        </w:tc>
      </w:tr>
      <w:tr>
        <w:trPr/>
        <w:tc>
          <w:tcPr>
            <w:tcW w:w="19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5" w:type="dxa"/>
            <w:gridSpan w:val="6"/>
            <w:tcBorders/>
            <w:vAlign w:val="bottom"/>
          </w:tcPr>
          <w:p>
            <w:pPr>
              <w:pStyle w:val="TableContents"/>
              <w:bidi w:val="0"/>
              <w:spacing w:lineRule="auto" w:line="300" w:before="0" w:after="0"/>
              <w:jc w:val="center"/>
              <w:rPr/>
            </w:pPr>
            <w:r>
              <w:rPr/>
              <w:t>(Unaudited)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lineRule="auto" w:line="300" w:before="0" w:after="0"/>
              <w:jc w:val="center"/>
              <w:rPr/>
            </w:pPr>
            <w:r>
              <w:rPr/>
              <w:t>(Unaudited)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lineRule="auto" w:line="300" w:before="0" w:after="0"/>
              <w:jc w:val="center"/>
              <w:rPr/>
            </w:pPr>
            <w:r>
              <w:rPr/>
              <w:t>(Unaudited)</w:t>
            </w:r>
          </w:p>
        </w:tc>
        <w:tc>
          <w:tcPr>
            <w:tcW w:w="232" w:type="dxa"/>
            <w:tcBorders/>
            <w:vAlign w:val="bottom"/>
          </w:tcPr>
          <w:p>
            <w:pPr>
              <w:pStyle w:val="TableContents"/>
              <w:bidi w:val="0"/>
              <w:spacing w:before="0" w:after="283"/>
              <w:jc w:val="left"/>
              <w:rPr/>
            </w:pPr>
            <w:r>
              <w:rPr/>
              <w:t> </w:t>
            </w:r>
          </w:p>
        </w:tc>
      </w:tr>
      <w:tr>
        <w:trPr/>
        <w:tc>
          <w:tcPr>
            <w:tcW w:w="1971" w:type="dxa"/>
            <w:tcBorders/>
            <w:shd w:fill="CCEEFF" w:val="clear"/>
            <w:vAlign w:val="bottom"/>
          </w:tcPr>
          <w:p>
            <w:pPr>
              <w:pStyle w:val="TableContents"/>
              <w:bidi w:val="0"/>
              <w:spacing w:lineRule="auto" w:line="300" w:before="0" w:after="0"/>
              <w:jc w:val="left"/>
              <w:rPr/>
            </w:pPr>
            <w:r>
              <w:rPr/>
              <w:t>GAAP net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3,188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5,537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11,460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8,564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4,469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lineRule="auto" w:line="300" w:before="0" w:after="0"/>
              <w:jc w:val="left"/>
              <w:rPr/>
            </w:pPr>
            <w:r>
              <w:rPr/>
              <w:t>$</w:t>
            </w:r>
          </w:p>
        </w:tc>
        <w:tc>
          <w:tcPr>
            <w:tcW w:w="926" w:type="dxa"/>
            <w:tcBorders/>
            <w:shd w:fill="CCEEFF" w:val="clear"/>
            <w:vAlign w:val="bottom"/>
          </w:tcPr>
          <w:p>
            <w:pPr>
              <w:pStyle w:val="TableContents"/>
              <w:bidi w:val="0"/>
              <w:spacing w:lineRule="auto" w:line="300" w:before="0" w:after="0"/>
              <w:jc w:val="right"/>
              <w:rPr/>
            </w:pPr>
            <w:r>
              <w:rPr/>
              <w:t>18,246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lineRule="auto" w:line="300" w:before="0" w:after="0"/>
              <w:jc w:val="left"/>
              <w:rPr/>
            </w:pPr>
            <w:r>
              <w:rPr/>
              <w:t>$</w:t>
            </w:r>
          </w:p>
        </w:tc>
        <w:tc>
          <w:tcPr>
            <w:tcW w:w="926" w:type="dxa"/>
            <w:tcBorders/>
            <w:shd w:fill="CCEEFF" w:val="clear"/>
            <w:vAlign w:val="bottom"/>
          </w:tcPr>
          <w:p>
            <w:pPr>
              <w:pStyle w:val="TableContents"/>
              <w:bidi w:val="0"/>
              <w:spacing w:lineRule="auto" w:line="300" w:before="0" w:after="0"/>
              <w:jc w:val="right"/>
              <w:rPr/>
            </w:pPr>
            <w:r>
              <w:rPr/>
              <w:t>20,983</w:t>
            </w:r>
          </w:p>
        </w:tc>
        <w:tc>
          <w:tcPr>
            <w:tcW w:w="232" w:type="dxa"/>
            <w:tcBorders/>
            <w:shd w:fill="CCEEFF" w:val="clear"/>
            <w:vAlign w:val="bottom"/>
          </w:tcPr>
          <w:p>
            <w:pPr>
              <w:pStyle w:val="TableContents"/>
              <w:bidi w:val="0"/>
              <w:spacing w:before="0" w:after="283"/>
              <w:jc w:val="left"/>
              <w:rPr/>
            </w:pPr>
            <w:r>
              <w:rPr/>
              <w:t> </w:t>
            </w:r>
          </w:p>
        </w:tc>
      </w:tr>
      <w:tr>
        <w:trPr/>
        <w:tc>
          <w:tcPr>
            <w:tcW w:w="1971" w:type="dxa"/>
            <w:tcBorders/>
            <w:vAlign w:val="bottom"/>
          </w:tcPr>
          <w:p>
            <w:pPr>
              <w:pStyle w:val="TableContents"/>
              <w:bidi w:val="0"/>
              <w:spacing w:lineRule="auto" w:line="300" w:before="0" w:after="0"/>
              <w:jc w:val="left"/>
              <w:rPr/>
            </w:pPr>
            <w:r>
              <w:rPr/>
              <w:t>Add: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r>
      <w:tr>
        <w:trPr/>
        <w:tc>
          <w:tcPr>
            <w:tcW w:w="1971" w:type="dxa"/>
            <w:tcBorders/>
            <w:shd w:fill="CCEEFF" w:val="clear"/>
            <w:vAlign w:val="bottom"/>
          </w:tcPr>
          <w:p>
            <w:pPr>
              <w:pStyle w:val="TableContents"/>
              <w:bidi w:val="0"/>
              <w:spacing w:lineRule="auto" w:line="300" w:before="0" w:after="0"/>
              <w:jc w:val="left"/>
              <w:rPr/>
            </w:pPr>
            <w:r>
              <w:rPr/>
              <w:t>Financial income and other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(6,554</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(6,815</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(3,899</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(1,963</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(1,646</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lineRule="auto" w:line="300" w:before="0" w:after="0"/>
              <w:jc w:val="right"/>
              <w:rPr/>
            </w:pPr>
            <w:r>
              <w:rPr/>
              <w:t>(27,706</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lineRule="auto" w:line="300" w:before="0" w:after="0"/>
              <w:jc w:val="right"/>
              <w:rPr/>
            </w:pPr>
            <w:r>
              <w:rPr/>
              <w:t>(24,593</w:t>
            </w:r>
          </w:p>
        </w:tc>
        <w:tc>
          <w:tcPr>
            <w:tcW w:w="232" w:type="dxa"/>
            <w:tcBorders/>
            <w:shd w:fill="CCEEFF" w:val="clear"/>
            <w:vAlign w:val="bottom"/>
          </w:tcPr>
          <w:p>
            <w:pPr>
              <w:pStyle w:val="TableContents"/>
              <w:bidi w:val="0"/>
              <w:spacing w:lineRule="auto" w:line="300" w:before="0" w:after="0"/>
              <w:jc w:val="left"/>
              <w:rPr/>
            </w:pPr>
            <w:r>
              <w:rPr/>
              <w:t>)</w:t>
            </w:r>
          </w:p>
        </w:tc>
      </w:tr>
      <w:tr>
        <w:trPr/>
        <w:tc>
          <w:tcPr>
            <w:tcW w:w="1971" w:type="dxa"/>
            <w:tcBorders/>
            <w:vAlign w:val="bottom"/>
          </w:tcPr>
          <w:p>
            <w:pPr>
              <w:pStyle w:val="TableContents"/>
              <w:bidi w:val="0"/>
              <w:spacing w:lineRule="auto" w:line="300" w:before="0" w:after="0"/>
              <w:jc w:val="left"/>
              <w:rPr/>
            </w:pPr>
            <w:r>
              <w:rPr/>
              <w:t>Taxes on income (tax benefit)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1,377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1,382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(1,658</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1,894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1,557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lineRule="auto" w:line="300" w:before="0" w:after="0"/>
              <w:jc w:val="right"/>
              <w:rPr/>
            </w:pPr>
            <w:r>
              <w:rPr/>
              <w:t>(6,358</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lineRule="auto" w:line="300" w:before="0" w:after="0"/>
              <w:jc w:val="right"/>
              <w:rPr/>
            </w:pPr>
            <w:r>
              <w:rPr/>
              <w:t>2,433</w:t>
            </w:r>
          </w:p>
        </w:tc>
        <w:tc>
          <w:tcPr>
            <w:tcW w:w="232" w:type="dxa"/>
            <w:tcBorders/>
            <w:vAlign w:val="bottom"/>
          </w:tcPr>
          <w:p>
            <w:pPr>
              <w:pStyle w:val="TableContents"/>
              <w:bidi w:val="0"/>
              <w:spacing w:before="0" w:after="283"/>
              <w:jc w:val="left"/>
              <w:rPr/>
            </w:pPr>
            <w:r>
              <w:rPr/>
              <w:t> </w:t>
            </w:r>
          </w:p>
        </w:tc>
      </w:tr>
      <w:tr>
        <w:trPr/>
        <w:tc>
          <w:tcPr>
            <w:tcW w:w="1971" w:type="dxa"/>
            <w:tcBorders/>
            <w:shd w:fill="CCEEFF" w:val="clear"/>
            <w:vAlign w:val="bottom"/>
          </w:tcPr>
          <w:p>
            <w:pPr>
              <w:pStyle w:val="TableContents"/>
              <w:bidi w:val="0"/>
              <w:spacing w:lineRule="auto" w:line="300" w:before="0" w:after="0"/>
              <w:jc w:val="left"/>
              <w:rPr/>
            </w:pP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4,089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3,074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3,245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3,414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3,425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lineRule="auto" w:line="300" w:before="0" w:after="0"/>
              <w:jc w:val="right"/>
              <w:rPr/>
            </w:pPr>
            <w:r>
              <w:rPr/>
              <w:t>10,476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lineRule="auto" w:line="300" w:before="0" w:after="0"/>
              <w:jc w:val="right"/>
              <w:rPr/>
            </w:pPr>
            <w:r>
              <w:rPr/>
              <w:t>14,692</w:t>
            </w:r>
          </w:p>
        </w:tc>
        <w:tc>
          <w:tcPr>
            <w:tcW w:w="232" w:type="dxa"/>
            <w:tcBorders/>
            <w:shd w:fill="CCEEFF" w:val="clear"/>
            <w:vAlign w:val="bottom"/>
          </w:tcPr>
          <w:p>
            <w:pPr>
              <w:pStyle w:val="TableContents"/>
              <w:bidi w:val="0"/>
              <w:spacing w:before="0" w:after="283"/>
              <w:jc w:val="left"/>
              <w:rPr/>
            </w:pPr>
            <w:r>
              <w:rPr/>
              <w:t> </w:t>
            </w:r>
          </w:p>
        </w:tc>
      </w:tr>
      <w:tr>
        <w:trPr/>
        <w:tc>
          <w:tcPr>
            <w:tcW w:w="1971" w:type="dxa"/>
            <w:tcBorders/>
            <w:vAlign w:val="bottom"/>
          </w:tcPr>
          <w:p>
            <w:pPr>
              <w:pStyle w:val="TableContents"/>
              <w:bidi w:val="0"/>
              <w:spacing w:lineRule="auto" w:line="300" w:before="0" w:after="0"/>
              <w:jc w:val="left"/>
              <w:rPr/>
            </w:pPr>
            <w:r>
              <w:rPr/>
              <w:t>Share-based compensation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14,055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11,925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9,655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8,982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8,223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lineRule="auto" w:line="300" w:before="0" w:after="0"/>
              <w:jc w:val="right"/>
              <w:rPr/>
            </w:pPr>
            <w:r>
              <w:rPr/>
              <w:t>73,942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lineRule="auto" w:line="300" w:before="0" w:after="0"/>
              <w:jc w:val="right"/>
              <w:rPr/>
            </w:pPr>
            <w:r>
              <w:rPr/>
              <w:t>51,389</w:t>
            </w:r>
          </w:p>
        </w:tc>
        <w:tc>
          <w:tcPr>
            <w:tcW w:w="232" w:type="dxa"/>
            <w:tcBorders/>
            <w:vAlign w:val="bottom"/>
          </w:tcPr>
          <w:p>
            <w:pPr>
              <w:pStyle w:val="TableContents"/>
              <w:bidi w:val="0"/>
              <w:spacing w:before="0" w:after="283"/>
              <w:jc w:val="left"/>
              <w:rPr/>
            </w:pPr>
            <w:r>
              <w:rPr/>
              <w:t> </w:t>
            </w:r>
          </w:p>
        </w:tc>
      </w:tr>
      <w:tr>
        <w:trPr/>
        <w:tc>
          <w:tcPr>
            <w:tcW w:w="1971" w:type="dxa"/>
            <w:tcBorders/>
            <w:shd w:fill="CCEEFF" w:val="clear"/>
            <w:vAlign w:val="bottom"/>
          </w:tcPr>
          <w:p>
            <w:pPr>
              <w:pStyle w:val="TableContents"/>
              <w:bidi w:val="0"/>
              <w:spacing w:lineRule="auto" w:line="300" w:before="0" w:after="0"/>
              <w:jc w:val="left"/>
              <w:rPr/>
            </w:pPr>
            <w:r>
              <w:rPr/>
              <w:t>Impairment of intangible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2,400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lineRule="auto" w:line="300"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lineRule="auto" w:line="300" w:before="0" w:after="0"/>
              <w:jc w:val="right"/>
              <w:rPr/>
            </w:pPr>
            <w:r>
              <w:rPr/>
              <w:t>2,400</w:t>
            </w:r>
          </w:p>
        </w:tc>
        <w:tc>
          <w:tcPr>
            <w:tcW w:w="232" w:type="dxa"/>
            <w:tcBorders/>
            <w:shd w:fill="CCEEFF" w:val="clear"/>
            <w:vAlign w:val="bottom"/>
          </w:tcPr>
          <w:p>
            <w:pPr>
              <w:pStyle w:val="TableContents"/>
              <w:bidi w:val="0"/>
              <w:spacing w:before="0" w:after="283"/>
              <w:jc w:val="left"/>
              <w:rPr/>
            </w:pPr>
            <w:r>
              <w:rPr/>
              <w:t> </w:t>
            </w:r>
          </w:p>
        </w:tc>
      </w:tr>
      <w:tr>
        <w:trPr/>
        <w:tc>
          <w:tcPr>
            <w:tcW w:w="1971" w:type="dxa"/>
            <w:tcBorders/>
            <w:vAlign w:val="bottom"/>
          </w:tcPr>
          <w:p>
            <w:pPr>
              <w:pStyle w:val="TableContents"/>
              <w:bidi w:val="0"/>
              <w:spacing w:lineRule="auto" w:line="300" w:before="0" w:after="0"/>
              <w:jc w:val="left"/>
              <w:rPr/>
            </w:pPr>
            <w:r>
              <w:rPr/>
              <w:t>Restructuring costs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3,567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(143</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lineRule="auto" w:line="300"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lineRule="auto" w:line="300" w:before="0" w:after="0"/>
              <w:jc w:val="right"/>
              <w:rPr/>
            </w:pPr>
            <w:r>
              <w:rPr/>
              <w:t>3,424</w:t>
            </w:r>
          </w:p>
        </w:tc>
        <w:tc>
          <w:tcPr>
            <w:tcW w:w="232" w:type="dxa"/>
            <w:tcBorders/>
            <w:vAlign w:val="bottom"/>
          </w:tcPr>
          <w:p>
            <w:pPr>
              <w:pStyle w:val="TableContents"/>
              <w:bidi w:val="0"/>
              <w:spacing w:before="0" w:after="283"/>
              <w:jc w:val="left"/>
              <w:rPr/>
            </w:pPr>
            <w:r>
              <w:rPr/>
              <w:t> </w:t>
            </w:r>
          </w:p>
        </w:tc>
      </w:tr>
      <w:tr>
        <w:trPr/>
        <w:tc>
          <w:tcPr>
            <w:tcW w:w="1971" w:type="dxa"/>
            <w:tcBorders/>
            <w:shd w:fill="CCEEFF" w:val="clear"/>
            <w:vAlign w:val="bottom"/>
          </w:tcPr>
          <w:p>
            <w:pPr>
              <w:pStyle w:val="TableContents"/>
              <w:bidi w:val="0"/>
              <w:spacing w:lineRule="auto" w:line="300" w:before="0" w:after="0"/>
              <w:jc w:val="left"/>
              <w:rPr/>
            </w:pPr>
            <w:r>
              <w:rPr/>
              <w:t>Earn-out revaluation, acquisition related costs and other</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5,294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3,111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7,854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1,725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1,496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5,631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20,858</w:t>
            </w:r>
          </w:p>
        </w:tc>
        <w:tc>
          <w:tcPr>
            <w:tcW w:w="232" w:type="dxa"/>
            <w:tcBorders/>
            <w:shd w:fill="CCEEFF" w:val="clear"/>
            <w:vAlign w:val="bottom"/>
          </w:tcPr>
          <w:p>
            <w:pPr>
              <w:pStyle w:val="TableContents"/>
              <w:bidi w:val="0"/>
              <w:spacing w:before="0" w:after="283"/>
              <w:jc w:val="left"/>
              <w:rPr/>
            </w:pPr>
            <w:r>
              <w:rPr/>
              <w:t> </w:t>
            </w:r>
          </w:p>
        </w:tc>
      </w:tr>
      <w:tr>
        <w:trPr/>
        <w:tc>
          <w:tcPr>
            <w:tcW w:w="1971" w:type="dxa"/>
            <w:tcBorders/>
            <w:vAlign w:val="bottom"/>
          </w:tcPr>
          <w:p>
            <w:pPr>
              <w:pStyle w:val="TableContents"/>
              <w:bidi w:val="0"/>
              <w:spacing w:lineRule="auto" w:line="300" w:before="0" w:after="0"/>
              <w:jc w:val="left"/>
              <w:rPr/>
            </w:pPr>
            <w:r>
              <w:rPr/>
              <w:t>Adjusted EBITDA</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21,449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24,181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26,514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22,616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17,524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26" w:type="dxa"/>
            <w:tcBorders>
              <w:bottom w:val="double" w:sz="8" w:space="0" w:color="000000"/>
            </w:tcBorders>
            <w:tcMar>
              <w:bottom w:w="28" w:type="dxa"/>
            </w:tcMar>
            <w:vAlign w:val="bottom"/>
          </w:tcPr>
          <w:p>
            <w:pPr>
              <w:pStyle w:val="TableContents"/>
              <w:bidi w:val="0"/>
              <w:spacing w:lineRule="auto" w:line="300" w:before="0" w:after="0"/>
              <w:jc w:val="right"/>
              <w:rPr/>
            </w:pPr>
            <w:r>
              <w:rPr/>
              <w:t>74,231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26" w:type="dxa"/>
            <w:tcBorders>
              <w:bottom w:val="double" w:sz="8" w:space="0" w:color="000000"/>
            </w:tcBorders>
            <w:tcMar>
              <w:bottom w:w="28" w:type="dxa"/>
            </w:tcMar>
            <w:vAlign w:val="bottom"/>
          </w:tcPr>
          <w:p>
            <w:pPr>
              <w:pStyle w:val="TableContents"/>
              <w:bidi w:val="0"/>
              <w:spacing w:lineRule="auto" w:line="300" w:before="0" w:after="0"/>
              <w:jc w:val="right"/>
              <w:rPr/>
            </w:pPr>
            <w:r>
              <w:rPr/>
              <w:t>91,586</w:t>
            </w:r>
          </w:p>
        </w:tc>
        <w:tc>
          <w:tcPr>
            <w:tcW w:w="232" w:type="dxa"/>
            <w:tcBorders/>
            <w:vAlign w:val="bottom"/>
          </w:tcPr>
          <w:p>
            <w:pPr>
              <w:pStyle w:val="TableContents"/>
              <w:bidi w:val="0"/>
              <w:spacing w:before="0" w:after="283"/>
              <w:jc w:val="left"/>
              <w:rPr/>
            </w:pPr>
            <w:r>
              <w:rPr/>
              <w:t> </w:t>
            </w:r>
          </w:p>
        </w:tc>
      </w:tr>
      <w:tr>
        <w:trPr/>
        <w:tc>
          <w:tcPr>
            <w:tcW w:w="1971" w:type="dxa"/>
            <w:tcBorders/>
            <w:shd w:fill="CCEEFF" w:val="clear"/>
            <w:vAlign w:val="bottom"/>
          </w:tcPr>
          <w:p>
            <w:pPr>
              <w:pStyle w:val="TableContents"/>
              <w:bidi w:val="0"/>
              <w:spacing w:lineRule="auto" w:line="300" w:before="0" w:after="0"/>
              <w:jc w:val="left"/>
              <w:rPr/>
            </w:pPr>
            <w:r>
              <w:rPr/>
              <w:t>Adjusted EBITDA margin</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19.7</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22.4</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24.7</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21.4</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17.9</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2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19.0</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2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21.3</w:t>
            </w:r>
          </w:p>
        </w:tc>
        <w:tc>
          <w:tcPr>
            <w:tcW w:w="232" w:type="dxa"/>
            <w:tcBorders/>
            <w:shd w:fill="CCEEFF" w:val="clear"/>
            <w:vAlign w:val="bottom"/>
          </w:tcPr>
          <w:p>
            <w:pPr>
              <w:pStyle w:val="TableContents"/>
              <w:bidi w:val="0"/>
              <w:spacing w:lineRule="auto" w:line="300" w:before="0" w:after="0"/>
              <w:jc w:val="left"/>
              <w:rPr/>
            </w:pPr>
            <w:r>
              <w:rPr/>
              <w:t>%</w:t>
            </w:r>
          </w:p>
        </w:tc>
      </w:tr>
    </w:tbl>
    <w:p>
      <w:pPr>
        <w:pStyle w:val="TextBody"/>
        <w:bidi w:val="0"/>
        <w:spacing w:lineRule="auto" w:line="300" w:before="0" w:after="0"/>
        <w:jc w:val="center"/>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RECONCILIATION OF GAAP TO NON-GAAP OPERATING EXPENSES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 w:name="z0177d3e0a4eb403c9a685bf05eebcb14"/>
      <w:bookmarkStart w:id="52" w:name="z0177d3e0a4eb403c9a685bf05eebcb14"/>
      <w:bookmarkEnd w:id="52"/>
    </w:p>
    <w:tbl>
      <w:tblPr>
        <w:tblW w:w="10205" w:type="dxa"/>
        <w:jc w:val="left"/>
        <w:tblInd w:w="0" w:type="dxa"/>
        <w:tblLayout w:type="fixed"/>
        <w:tblCellMar>
          <w:top w:w="0" w:type="dxa"/>
          <w:left w:w="0" w:type="dxa"/>
          <w:bottom w:w="0" w:type="dxa"/>
          <w:right w:w="0" w:type="dxa"/>
        </w:tblCellMar>
      </w:tblPr>
      <w:tblGrid>
        <w:gridCol w:w="2915"/>
        <w:gridCol w:w="60"/>
        <w:gridCol w:w="140"/>
        <w:gridCol w:w="680"/>
        <w:gridCol w:w="60"/>
        <w:gridCol w:w="60"/>
        <w:gridCol w:w="140"/>
        <w:gridCol w:w="680"/>
        <w:gridCol w:w="95"/>
        <w:gridCol w:w="60"/>
        <w:gridCol w:w="140"/>
        <w:gridCol w:w="680"/>
        <w:gridCol w:w="95"/>
        <w:gridCol w:w="60"/>
        <w:gridCol w:w="140"/>
        <w:gridCol w:w="680"/>
        <w:gridCol w:w="60"/>
        <w:gridCol w:w="60"/>
        <w:gridCol w:w="140"/>
        <w:gridCol w:w="680"/>
        <w:gridCol w:w="95"/>
        <w:gridCol w:w="60"/>
        <w:gridCol w:w="165"/>
        <w:gridCol w:w="949"/>
        <w:gridCol w:w="60"/>
        <w:gridCol w:w="60"/>
        <w:gridCol w:w="165"/>
        <w:gridCol w:w="949"/>
        <w:gridCol w:w="77"/>
      </w:tblGrid>
      <w:tr>
        <w:trPr/>
        <w:tc>
          <w:tcPr>
            <w:tcW w:w="2915"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Q3'25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Q4'25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Q1'26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Q2'26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2025</w:t>
            </w:r>
          </w:p>
        </w:tc>
        <w:tc>
          <w:tcPr>
            <w:tcW w:w="77"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50" w:type="dxa"/>
            <w:gridSpan w:val="18"/>
            <w:tcBorders/>
            <w:vAlign w:val="bottom"/>
          </w:tcPr>
          <w:p>
            <w:pPr>
              <w:pStyle w:val="TableContents"/>
              <w:bidi w:val="0"/>
              <w:spacing w:lineRule="auto" w:line="300" w:before="0" w:after="0"/>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lineRule="auto" w:line="300" w:before="0" w:after="0"/>
              <w:jc w:val="center"/>
              <w:rPr/>
            </w:pPr>
            <w:r>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lineRule="auto" w:line="300" w:before="0" w:after="0"/>
              <w:jc w:val="center"/>
              <w:rPr/>
            </w:pPr>
            <w:r>
              <w:rPr/>
              <w:t>(Unaudited)</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GAAP research and development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23,994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25,150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17,893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18,061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18,627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lineRule="auto" w:line="300" w:before="0" w:after="0"/>
              <w:jc w:val="left"/>
              <w:rPr/>
            </w:pPr>
            <w:r>
              <w:rPr/>
              <w:t>$</w:t>
            </w:r>
          </w:p>
        </w:tc>
        <w:tc>
          <w:tcPr>
            <w:tcW w:w="949" w:type="dxa"/>
            <w:tcBorders/>
            <w:shd w:fill="CCEEFF" w:val="clear"/>
            <w:vAlign w:val="bottom"/>
          </w:tcPr>
          <w:p>
            <w:pPr>
              <w:pStyle w:val="TableContents"/>
              <w:bidi w:val="0"/>
              <w:spacing w:lineRule="auto" w:line="300" w:before="0" w:after="0"/>
              <w:jc w:val="right"/>
              <w:rPr/>
            </w:pPr>
            <w:r>
              <w:rPr/>
              <w:t>90,241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lineRule="auto" w:line="300" w:before="0" w:after="0"/>
              <w:jc w:val="left"/>
              <w:rPr/>
            </w:pPr>
            <w:r>
              <w:rPr/>
              <w:t>$</w:t>
            </w:r>
          </w:p>
        </w:tc>
        <w:tc>
          <w:tcPr>
            <w:tcW w:w="949" w:type="dxa"/>
            <w:tcBorders/>
            <w:shd w:fill="CCEEFF" w:val="clear"/>
            <w:vAlign w:val="bottom"/>
          </w:tcPr>
          <w:p>
            <w:pPr>
              <w:pStyle w:val="TableContents"/>
              <w:bidi w:val="0"/>
              <w:spacing w:lineRule="auto" w:line="300" w:before="0" w:after="0"/>
              <w:jc w:val="right"/>
              <w:rPr/>
            </w:pPr>
            <w:r>
              <w:rPr/>
              <w:t>90,664</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Less: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Share-based compensation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4,129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3,229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2,333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2,196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1,816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23,569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14,421</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Depreciation and amortization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313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309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301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279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266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lineRule="auto" w:line="300" w:before="0" w:after="0"/>
              <w:jc w:val="right"/>
              <w:rPr/>
            </w:pPr>
            <w:r>
              <w:rPr/>
              <w:t>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lineRule="auto" w:line="300" w:before="0" w:after="0"/>
              <w:jc w:val="right"/>
              <w:rPr/>
            </w:pPr>
            <w:r>
              <w:rPr/>
              <w:t>1,188</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Restructuring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2,258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(85</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2,173</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Earn-out revaluation, acquisition related costs and other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(83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137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160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tcMar>
              <w:bottom w:w="28" w:type="dxa"/>
            </w:tcMar>
            <w:vAlign w:val="bottom"/>
          </w:tcPr>
          <w:p>
            <w:pPr>
              <w:pStyle w:val="TableContents"/>
              <w:bidi w:val="0"/>
              <w:spacing w:lineRule="auto" w:line="300" w:before="0" w:after="0"/>
              <w:jc w:val="right"/>
              <w:rPr/>
            </w:pPr>
            <w:r>
              <w:rPr/>
              <w:t>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tcMar>
              <w:bottom w:w="28" w:type="dxa"/>
            </w:tcMar>
            <w:vAlign w:val="bottom"/>
          </w:tcPr>
          <w:p>
            <w:pPr>
              <w:pStyle w:val="TableContents"/>
              <w:bidi w:val="0"/>
              <w:spacing w:lineRule="auto" w:line="300" w:before="0" w:after="0"/>
              <w:jc w:val="right"/>
              <w:rPr/>
            </w:pPr>
            <w:r>
              <w:rPr/>
              <w:t>181</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Non-GAAP research and development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19,490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19,437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15,207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15,427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16,385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94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65,813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94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72,701</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GAAP sales and marketing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44,844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40,669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43,772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45,579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41,515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lineRule="auto" w:line="300" w:before="0" w:after="0"/>
              <w:jc w:val="left"/>
              <w:rPr/>
            </w:pPr>
            <w:r>
              <w:rPr/>
              <w:t>$</w:t>
            </w:r>
          </w:p>
        </w:tc>
        <w:tc>
          <w:tcPr>
            <w:tcW w:w="949" w:type="dxa"/>
            <w:tcBorders/>
            <w:shd w:fill="CCEEFF" w:val="clear"/>
            <w:vAlign w:val="bottom"/>
          </w:tcPr>
          <w:p>
            <w:pPr>
              <w:pStyle w:val="TableContents"/>
              <w:bidi w:val="0"/>
              <w:spacing w:lineRule="auto" w:line="300" w:before="0" w:after="0"/>
              <w:jc w:val="right"/>
              <w:rPr/>
            </w:pPr>
            <w:r>
              <w:rPr/>
              <w:t>171,678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lineRule="auto" w:line="300" w:before="0" w:after="0"/>
              <w:jc w:val="left"/>
              <w:rPr/>
            </w:pPr>
            <w:r>
              <w:rPr/>
              <w:t>$</w:t>
            </w:r>
          </w:p>
        </w:tc>
        <w:tc>
          <w:tcPr>
            <w:tcW w:w="949" w:type="dxa"/>
            <w:tcBorders/>
            <w:shd w:fill="CCEEFF" w:val="clear"/>
            <w:vAlign w:val="bottom"/>
          </w:tcPr>
          <w:p>
            <w:pPr>
              <w:pStyle w:val="TableContents"/>
              <w:bidi w:val="0"/>
              <w:spacing w:lineRule="auto" w:line="300" w:before="0" w:after="0"/>
              <w:jc w:val="right"/>
              <w:rPr/>
            </w:pPr>
            <w:r>
              <w:rPr/>
              <w:t>176,675</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Less: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Share-based compensation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1,369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1,338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1,079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984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1,037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13,592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6,032</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Depreciation and amortization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507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429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467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469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lineRule="auto" w:line="300" w:before="0" w:after="0"/>
              <w:jc w:val="right"/>
              <w:rPr/>
            </w:pPr>
            <w:r>
              <w:rPr/>
              <w:t>2,308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lineRule="auto" w:line="300" w:before="0" w:after="0"/>
              <w:jc w:val="right"/>
              <w:rPr/>
            </w:pPr>
            <w:r>
              <w:rPr/>
              <w:t>2,202</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Impairment of intangible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2,400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2,400</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Restructuring costs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829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lineRule="auto" w:line="300"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lineRule="auto" w:line="300" w:before="0" w:after="0"/>
              <w:jc w:val="right"/>
              <w:rPr/>
            </w:pPr>
            <w:r>
              <w:rPr/>
              <w:t>827</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Earn-out revaluation, acquisition related costs and other</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1,147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805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1,400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1,878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4,412</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Non-GAAP sales and marketing</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41,778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37,190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38,603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42,743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38,609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49" w:type="dxa"/>
            <w:tcBorders>
              <w:bottom w:val="double" w:sz="8" w:space="0" w:color="000000"/>
            </w:tcBorders>
            <w:tcMar>
              <w:bottom w:w="28" w:type="dxa"/>
            </w:tcMar>
            <w:vAlign w:val="bottom"/>
          </w:tcPr>
          <w:p>
            <w:pPr>
              <w:pStyle w:val="TableContents"/>
              <w:bidi w:val="0"/>
              <w:spacing w:lineRule="auto" w:line="300" w:before="0" w:after="0"/>
              <w:jc w:val="right"/>
              <w:rPr/>
            </w:pPr>
            <w:r>
              <w:rPr/>
              <w:t>153,900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49" w:type="dxa"/>
            <w:tcBorders>
              <w:bottom w:val="double" w:sz="8" w:space="0" w:color="000000"/>
            </w:tcBorders>
            <w:tcMar>
              <w:bottom w:w="28" w:type="dxa"/>
            </w:tcMar>
            <w:vAlign w:val="bottom"/>
          </w:tcPr>
          <w:p>
            <w:pPr>
              <w:pStyle w:val="TableContents"/>
              <w:bidi w:val="0"/>
              <w:spacing w:lineRule="auto" w:line="300" w:before="0" w:after="0"/>
              <w:jc w:val="right"/>
              <w:rPr/>
            </w:pPr>
            <w:r>
              <w:rPr/>
              <w:t>160,802</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GAAP general and administrative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pPr>
            <w:r>
              <w:rPr/>
              <w:t>$</w:t>
            </w:r>
          </w:p>
        </w:tc>
        <w:tc>
          <w:tcPr>
            <w:tcW w:w="680" w:type="dxa"/>
            <w:tcBorders/>
            <w:vAlign w:val="bottom"/>
          </w:tcPr>
          <w:p>
            <w:pPr>
              <w:pStyle w:val="TableContents"/>
              <w:bidi w:val="0"/>
              <w:spacing w:lineRule="auto" w:line="300" w:before="0" w:after="0"/>
              <w:jc w:val="right"/>
              <w:rPr/>
            </w:pPr>
            <w:r>
              <w:rPr/>
              <w:t>21,415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pPr>
            <w:r>
              <w:rPr/>
              <w:t>$</w:t>
            </w:r>
          </w:p>
        </w:tc>
        <w:tc>
          <w:tcPr>
            <w:tcW w:w="680" w:type="dxa"/>
            <w:tcBorders/>
            <w:vAlign w:val="bottom"/>
          </w:tcPr>
          <w:p>
            <w:pPr>
              <w:pStyle w:val="TableContents"/>
              <w:bidi w:val="0"/>
              <w:spacing w:lineRule="auto" w:line="300" w:before="0" w:after="0"/>
              <w:jc w:val="right"/>
              <w:rPr/>
            </w:pPr>
            <w:r>
              <w:rPr/>
              <w:t>22,214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pPr>
            <w:r>
              <w:rPr/>
              <w:t>$</w:t>
            </w:r>
          </w:p>
        </w:tc>
        <w:tc>
          <w:tcPr>
            <w:tcW w:w="680" w:type="dxa"/>
            <w:tcBorders/>
            <w:vAlign w:val="bottom"/>
          </w:tcPr>
          <w:p>
            <w:pPr>
              <w:pStyle w:val="TableContents"/>
              <w:bidi w:val="0"/>
              <w:spacing w:lineRule="auto" w:line="300" w:before="0" w:after="0"/>
              <w:jc w:val="right"/>
              <w:rPr/>
            </w:pPr>
            <w:r>
              <w:rPr/>
              <w:t>20,736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pPr>
            <w:r>
              <w:rPr/>
              <w:t>$</w:t>
            </w:r>
          </w:p>
        </w:tc>
        <w:tc>
          <w:tcPr>
            <w:tcW w:w="680" w:type="dxa"/>
            <w:tcBorders/>
            <w:vAlign w:val="bottom"/>
          </w:tcPr>
          <w:p>
            <w:pPr>
              <w:pStyle w:val="TableContents"/>
              <w:bidi w:val="0"/>
              <w:spacing w:lineRule="auto" w:line="300" w:before="0" w:after="0"/>
              <w:jc w:val="right"/>
              <w:rPr/>
            </w:pPr>
            <w:r>
              <w:rPr/>
              <w:t>14,523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pPr>
            <w:r>
              <w:rPr/>
              <w:t>$</w:t>
            </w:r>
          </w:p>
        </w:tc>
        <w:tc>
          <w:tcPr>
            <w:tcW w:w="680" w:type="dxa"/>
            <w:tcBorders/>
            <w:vAlign w:val="bottom"/>
          </w:tcPr>
          <w:p>
            <w:pPr>
              <w:pStyle w:val="TableContents"/>
              <w:bidi w:val="0"/>
              <w:spacing w:lineRule="auto" w:line="300" w:before="0" w:after="0"/>
              <w:jc w:val="right"/>
              <w:rPr/>
            </w:pPr>
            <w:r>
              <w:rPr/>
              <w:t>15,409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lineRule="auto" w:line="300" w:before="0" w:after="0"/>
              <w:jc w:val="left"/>
              <w:rPr/>
            </w:pPr>
            <w:r>
              <w:rPr/>
              <w:t>$</w:t>
            </w:r>
          </w:p>
        </w:tc>
        <w:tc>
          <w:tcPr>
            <w:tcW w:w="949" w:type="dxa"/>
            <w:tcBorders/>
            <w:vAlign w:val="bottom"/>
          </w:tcPr>
          <w:p>
            <w:pPr>
              <w:pStyle w:val="TableContents"/>
              <w:bidi w:val="0"/>
              <w:spacing w:lineRule="auto" w:line="300" w:before="0" w:after="0"/>
              <w:jc w:val="right"/>
              <w:rPr/>
            </w:pPr>
            <w:r>
              <w:rPr/>
              <w:t>74,814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lineRule="auto" w:line="300" w:before="0" w:after="0"/>
              <w:jc w:val="left"/>
              <w:rPr/>
            </w:pPr>
            <w:r>
              <w:rPr/>
              <w:t>$</w:t>
            </w:r>
          </w:p>
        </w:tc>
        <w:tc>
          <w:tcPr>
            <w:tcW w:w="949" w:type="dxa"/>
            <w:tcBorders/>
            <w:vAlign w:val="bottom"/>
          </w:tcPr>
          <w:p>
            <w:pPr>
              <w:pStyle w:val="TableContents"/>
              <w:bidi w:val="0"/>
              <w:spacing w:lineRule="auto" w:line="300" w:before="0" w:after="0"/>
              <w:jc w:val="right"/>
              <w:rPr/>
            </w:pPr>
            <w:r>
              <w:rPr/>
              <w:t>85,331</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Less: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Share-based compensation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8,154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6,993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6,204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5,546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5,123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lineRule="auto" w:line="300" w:before="0" w:after="0"/>
              <w:jc w:val="right"/>
              <w:rPr/>
            </w:pPr>
            <w:r>
              <w:rPr/>
              <w:t>34,645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lineRule="auto" w:line="300" w:before="0" w:after="0"/>
              <w:jc w:val="right"/>
              <w:rPr/>
            </w:pPr>
            <w:r>
              <w:rPr/>
              <w:t>29,706</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320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351</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Impairment of intangible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2,400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(2,400</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lineRule="auto" w:line="300"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lineRule="auto" w:line="300" w:before="0" w:after="0"/>
              <w:jc w:val="right"/>
              <w:rPr/>
            </w:pPr>
            <w:r>
              <w:rPr/>
              <w:t>-</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Restructuring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242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(21</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lineRule="auto" w:line="300" w:before="0" w:after="0"/>
              <w:jc w:val="right"/>
              <w:rPr/>
            </w:pPr>
            <w:r>
              <w:rPr/>
              <w:t>221</w:t>
            </w:r>
          </w:p>
        </w:tc>
        <w:tc>
          <w:tcPr>
            <w:tcW w:w="77"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lineRule="auto" w:line="300" w:before="0" w:after="0"/>
              <w:jc w:val="left"/>
              <w:rPr/>
            </w:pPr>
            <w:r>
              <w:rPr/>
              <w:t>Earn-out revaluation, acquisition related costs and other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4,085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2,432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6,448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pPr>
            <w:r>
              <w:rPr/>
              <w:t>(70</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tcMar>
              <w:bottom w:w="28" w:type="dxa"/>
            </w:tcMar>
            <w:vAlign w:val="bottom"/>
          </w:tcPr>
          <w:p>
            <w:pPr>
              <w:pStyle w:val="TableContents"/>
              <w:bidi w:val="0"/>
              <w:spacing w:lineRule="auto" w:line="300" w:before="0" w:after="0"/>
              <w:jc w:val="right"/>
              <w:rPr/>
            </w:pPr>
            <w:r>
              <w:rPr/>
              <w:t>3,697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tcMar>
              <w:bottom w:w="28" w:type="dxa"/>
            </w:tcMar>
            <w:vAlign w:val="bottom"/>
          </w:tcPr>
          <w:p>
            <w:pPr>
              <w:pStyle w:val="TableContents"/>
              <w:bidi w:val="0"/>
              <w:spacing w:lineRule="auto" w:line="300" w:before="0" w:after="0"/>
              <w:jc w:val="right"/>
              <w:rPr/>
            </w:pPr>
            <w:r>
              <w:rPr/>
              <w:t>16,258</w:t>
            </w:r>
          </w:p>
        </w:tc>
        <w:tc>
          <w:tcPr>
            <w:tcW w:w="77"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lineRule="auto" w:line="300" w:before="0" w:after="0"/>
              <w:jc w:val="left"/>
              <w:rPr/>
            </w:pPr>
            <w:r>
              <w:rPr/>
              <w:t>Non-GAAP general and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9,105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10,075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10,436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8,716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10,271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94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36,152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pPr>
            <w:r>
              <w:rPr/>
              <w:t>$</w:t>
            </w:r>
          </w:p>
        </w:tc>
        <w:tc>
          <w:tcPr>
            <w:tcW w:w="94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38,795</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b/>
        </w:rPr>
      </w:pPr>
      <w:r>
        <w:rPr>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RECONCILIATION OF GAAP CASH FROM OPERATING ACTIVITIES TO FREE CASH FLOW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lineRule="auto" w:line="300" w:before="0" w:after="0"/>
        <w:jc w:val="center"/>
        <w:rPr>
          <w:b/>
        </w:rPr>
      </w:pPr>
      <w:r>
        <w:rPr>
          <w:b/>
        </w:rPr>
      </w:r>
    </w:p>
    <w:p>
      <w:pPr>
        <w:pStyle w:val="Normal"/>
        <w:bidi w:val="0"/>
        <w:spacing w:before="0" w:after="0"/>
        <w:jc w:val="left"/>
        <w:rPr>
          <w:sz w:val="4"/>
          <w:szCs w:val="4"/>
        </w:rPr>
      </w:pPr>
      <w:r>
        <w:rPr>
          <w:sz w:val="4"/>
          <w:szCs w:val="4"/>
        </w:rPr>
      </w:r>
      <w:bookmarkStart w:id="53" w:name="zfa7e6a5cebc441b096847bc86161d342"/>
      <w:bookmarkStart w:id="54" w:name="zfa7e6a5cebc441b096847bc86161d342"/>
      <w:bookmarkEnd w:id="54"/>
    </w:p>
    <w:tbl>
      <w:tblPr>
        <w:tblW w:w="10205" w:type="dxa"/>
        <w:jc w:val="left"/>
        <w:tblInd w:w="0" w:type="dxa"/>
        <w:tblLayout w:type="fixed"/>
        <w:tblCellMar>
          <w:top w:w="0" w:type="dxa"/>
          <w:left w:w="0" w:type="dxa"/>
          <w:bottom w:w="0" w:type="dxa"/>
          <w:right w:w="0" w:type="dxa"/>
        </w:tblCellMar>
      </w:tblPr>
      <w:tblGrid>
        <w:gridCol w:w="2752"/>
        <w:gridCol w:w="60"/>
        <w:gridCol w:w="140"/>
        <w:gridCol w:w="680"/>
        <w:gridCol w:w="95"/>
        <w:gridCol w:w="60"/>
        <w:gridCol w:w="140"/>
        <w:gridCol w:w="680"/>
        <w:gridCol w:w="95"/>
        <w:gridCol w:w="60"/>
        <w:gridCol w:w="140"/>
        <w:gridCol w:w="680"/>
        <w:gridCol w:w="95"/>
        <w:gridCol w:w="60"/>
        <w:gridCol w:w="140"/>
        <w:gridCol w:w="680"/>
        <w:gridCol w:w="95"/>
        <w:gridCol w:w="60"/>
        <w:gridCol w:w="140"/>
        <w:gridCol w:w="680"/>
        <w:gridCol w:w="95"/>
        <w:gridCol w:w="60"/>
        <w:gridCol w:w="191"/>
        <w:gridCol w:w="934"/>
        <w:gridCol w:w="95"/>
        <w:gridCol w:w="60"/>
        <w:gridCol w:w="167"/>
        <w:gridCol w:w="958"/>
        <w:gridCol w:w="113"/>
      </w:tblGrid>
      <w:tr>
        <w:trPr/>
        <w:tc>
          <w:tcPr>
            <w:tcW w:w="2752"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Q2'25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Q3'25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Q4'25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Q1'26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Q2'26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FY 2025</w:t>
            </w:r>
          </w:p>
        </w:tc>
        <w:tc>
          <w:tcPr>
            <w:tcW w:w="113" w:type="dxa"/>
            <w:tcBorders/>
            <w:vAlign w:val="bottom"/>
          </w:tcPr>
          <w:p>
            <w:pPr>
              <w:pStyle w:val="TableContents"/>
              <w:bidi w:val="0"/>
              <w:spacing w:before="0" w:after="283"/>
              <w:jc w:val="left"/>
              <w:rPr/>
            </w:pPr>
            <w:r>
              <w:rPr/>
              <w:t> </w:t>
            </w:r>
          </w:p>
        </w:tc>
      </w:tr>
      <w:tr>
        <w:trPr/>
        <w:tc>
          <w:tcPr>
            <w:tcW w:w="27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0" w:type="dxa"/>
            <w:gridSpan w:val="18"/>
            <w:tcBorders/>
            <w:vAlign w:val="bottom"/>
          </w:tcPr>
          <w:p>
            <w:pPr>
              <w:pStyle w:val="TableContents"/>
              <w:bidi w:val="0"/>
              <w:spacing w:lineRule="auto" w:line="300" w:before="0" w:after="0"/>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lineRule="auto" w:line="300" w:before="0" w:after="0"/>
              <w:jc w:val="center"/>
              <w:rPr/>
            </w:pPr>
            <w:r>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lineRule="auto" w:line="300" w:before="0" w:after="0"/>
              <w:jc w:val="center"/>
              <w:rPr/>
            </w:pPr>
            <w:r>
              <w:rPr/>
              <w:t>(Unaudited)</w:t>
            </w:r>
          </w:p>
        </w:tc>
        <w:tc>
          <w:tcPr>
            <w:tcW w:w="113" w:type="dxa"/>
            <w:tcBorders/>
            <w:vAlign w:val="bottom"/>
          </w:tcPr>
          <w:p>
            <w:pPr>
              <w:pStyle w:val="TableContents"/>
              <w:bidi w:val="0"/>
              <w:spacing w:before="0" w:after="283"/>
              <w:jc w:val="left"/>
              <w:rPr/>
            </w:pPr>
            <w:r>
              <w:rPr/>
              <w:t> </w:t>
            </w:r>
          </w:p>
        </w:tc>
      </w:tr>
      <w:tr>
        <w:trPr/>
        <w:tc>
          <w:tcPr>
            <w:tcW w:w="2752" w:type="dxa"/>
            <w:tcBorders/>
            <w:shd w:fill="CCEEFF" w:val="clear"/>
            <w:vAlign w:val="bottom"/>
          </w:tcPr>
          <w:p>
            <w:pPr>
              <w:pStyle w:val="TableContents"/>
              <w:bidi w:val="0"/>
              <w:spacing w:lineRule="auto" w:line="300" w:before="0" w:after="0"/>
              <w:jc w:val="left"/>
              <w:rPr/>
            </w:pPr>
            <w:r>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25,204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29,206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21,870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21,176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680" w:type="dxa"/>
            <w:tcBorders/>
            <w:shd w:fill="CCEEFF" w:val="clear"/>
            <w:vAlign w:val="bottom"/>
          </w:tcPr>
          <w:p>
            <w:pPr>
              <w:pStyle w:val="TableContents"/>
              <w:bidi w:val="0"/>
              <w:spacing w:lineRule="auto" w:line="300" w:before="0" w:after="0"/>
              <w:jc w:val="right"/>
              <w:rPr/>
            </w:pPr>
            <w:r>
              <w:rPr/>
              <w:t>13,843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lineRule="auto" w:line="300" w:before="0" w:after="0"/>
              <w:jc w:val="left"/>
              <w:rPr/>
            </w:pPr>
            <w:r>
              <w:rPr/>
              <w:t>$</w:t>
            </w:r>
          </w:p>
        </w:tc>
        <w:tc>
          <w:tcPr>
            <w:tcW w:w="934" w:type="dxa"/>
            <w:tcBorders/>
            <w:shd w:fill="CCEEFF" w:val="clear"/>
            <w:vAlign w:val="bottom"/>
          </w:tcPr>
          <w:p>
            <w:pPr>
              <w:pStyle w:val="TableContents"/>
              <w:bidi w:val="0"/>
              <w:spacing w:lineRule="auto" w:line="300" w:before="0" w:after="0"/>
              <w:jc w:val="right"/>
              <w:rPr/>
            </w:pPr>
            <w:r>
              <w:rPr/>
              <w:t>83,068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lineRule="auto" w:line="300" w:before="0" w:after="0"/>
              <w:jc w:val="left"/>
              <w:rPr/>
            </w:pPr>
            <w:r>
              <w:rPr/>
              <w:t>$</w:t>
            </w:r>
          </w:p>
        </w:tc>
        <w:tc>
          <w:tcPr>
            <w:tcW w:w="958" w:type="dxa"/>
            <w:tcBorders/>
            <w:shd w:fill="CCEEFF" w:val="clear"/>
            <w:vAlign w:val="bottom"/>
          </w:tcPr>
          <w:p>
            <w:pPr>
              <w:pStyle w:val="TableContents"/>
              <w:bidi w:val="0"/>
              <w:spacing w:lineRule="auto" w:line="300" w:before="0" w:after="0"/>
              <w:jc w:val="right"/>
              <w:rPr/>
            </w:pPr>
            <w:r>
              <w:rPr/>
              <w:t>104,589</w:t>
            </w:r>
          </w:p>
        </w:tc>
        <w:tc>
          <w:tcPr>
            <w:tcW w:w="113" w:type="dxa"/>
            <w:tcBorders/>
            <w:shd w:fill="CCEEFF" w:val="clear"/>
            <w:vAlign w:val="bottom"/>
          </w:tcPr>
          <w:p>
            <w:pPr>
              <w:pStyle w:val="TableContents"/>
              <w:bidi w:val="0"/>
              <w:spacing w:before="0" w:after="283"/>
              <w:jc w:val="left"/>
              <w:rPr/>
            </w:pPr>
            <w:r>
              <w:rPr/>
              <w:t> </w:t>
            </w:r>
          </w:p>
        </w:tc>
      </w:tr>
      <w:tr>
        <w:trPr/>
        <w:tc>
          <w:tcPr>
            <w:tcW w:w="2752" w:type="dxa"/>
            <w:tcBorders/>
            <w:vAlign w:val="bottom"/>
          </w:tcPr>
          <w:p>
            <w:pPr>
              <w:pStyle w:val="TableContents"/>
              <w:bidi w:val="0"/>
              <w:spacing w:lineRule="auto" w:line="300" w:before="0" w:after="0"/>
              <w:jc w:val="left"/>
              <w:rPr/>
            </w:pPr>
            <w:r>
              <w:rPr/>
              <w:t>Purchase of property and equipment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(185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(77</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(98</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(159</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pPr>
            <w:r>
              <w:rPr/>
              <w:t>(208</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lineRule="auto" w:line="300" w:before="0" w:after="0"/>
              <w:jc w:val="right"/>
              <w:rPr/>
            </w:pPr>
            <w:r>
              <w:rPr/>
              <w:t>(1,303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lineRule="auto" w:line="300" w:before="0" w:after="0"/>
              <w:jc w:val="right"/>
              <w:rPr/>
            </w:pPr>
            <w:r>
              <w:rPr/>
              <w:t>(647</w:t>
            </w:r>
          </w:p>
        </w:tc>
        <w:tc>
          <w:tcPr>
            <w:tcW w:w="113" w:type="dxa"/>
            <w:tcBorders/>
            <w:vAlign w:val="bottom"/>
          </w:tcPr>
          <w:p>
            <w:pPr>
              <w:pStyle w:val="TableContents"/>
              <w:bidi w:val="0"/>
              <w:spacing w:lineRule="auto" w:line="300" w:before="0" w:after="0"/>
              <w:jc w:val="left"/>
              <w:rPr/>
            </w:pPr>
            <w:r>
              <w:rPr/>
              <w:t>)</w:t>
            </w:r>
          </w:p>
        </w:tc>
      </w:tr>
      <w:tr>
        <w:trPr/>
        <w:tc>
          <w:tcPr>
            <w:tcW w:w="2752" w:type="dxa"/>
            <w:tcBorders/>
            <w:shd w:fill="CCEEFF" w:val="clear"/>
            <w:vAlign w:val="bottom"/>
          </w:tcPr>
          <w:p>
            <w:pPr>
              <w:pStyle w:val="TableContents"/>
              <w:bidi w:val="0"/>
              <w:spacing w:lineRule="auto" w:line="300" w:before="0" w:after="0"/>
              <w:jc w:val="left"/>
              <w:rPr/>
            </w:pPr>
            <w:r>
              <w:rPr/>
              <w:t>Capitalization of internal-use software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(103</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(661</w:t>
            </w:r>
          </w:p>
        </w:tc>
        <w:tc>
          <w:tcPr>
            <w:tcW w:w="113" w:type="dxa"/>
            <w:tcBorders/>
            <w:shd w:fill="CCEEFF" w:val="clear"/>
            <w:vAlign w:val="bottom"/>
          </w:tcPr>
          <w:p>
            <w:pPr>
              <w:pStyle w:val="TableContents"/>
              <w:bidi w:val="0"/>
              <w:spacing w:lineRule="auto" w:line="300" w:before="0" w:after="0"/>
              <w:jc w:val="left"/>
              <w:rPr/>
            </w:pPr>
            <w:r>
              <w:rPr/>
              <w:t>)</w:t>
            </w:r>
          </w:p>
        </w:tc>
      </w:tr>
      <w:tr>
        <w:trPr/>
        <w:tc>
          <w:tcPr>
            <w:tcW w:w="2752" w:type="dxa"/>
            <w:tcBorders/>
            <w:vAlign w:val="bottom"/>
          </w:tcPr>
          <w:p>
            <w:pPr>
              <w:pStyle w:val="TableContents"/>
              <w:bidi w:val="0"/>
              <w:spacing w:lineRule="auto" w:line="300" w:before="0" w:after="0"/>
              <w:jc w:val="left"/>
              <w:rPr/>
            </w:pPr>
            <w:r>
              <w:rPr/>
              <w:t>Free cash flow</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25,019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29,129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21,772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21,017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pPr>
            <w:r>
              <w:rPr/>
              <w:t>13,635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34" w:type="dxa"/>
            <w:tcBorders>
              <w:bottom w:val="double" w:sz="8" w:space="0" w:color="000000"/>
            </w:tcBorders>
            <w:tcMar>
              <w:bottom w:w="28" w:type="dxa"/>
            </w:tcMar>
            <w:vAlign w:val="bottom"/>
          </w:tcPr>
          <w:p>
            <w:pPr>
              <w:pStyle w:val="TableContents"/>
              <w:bidi w:val="0"/>
              <w:spacing w:lineRule="auto" w:line="300" w:before="0" w:after="0"/>
              <w:jc w:val="right"/>
              <w:rPr/>
            </w:pPr>
            <w:r>
              <w:rPr/>
              <w:t>81,662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958" w:type="dxa"/>
            <w:tcBorders>
              <w:bottom w:val="double" w:sz="8" w:space="0" w:color="000000"/>
            </w:tcBorders>
            <w:tcMar>
              <w:bottom w:w="28" w:type="dxa"/>
            </w:tcMar>
            <w:vAlign w:val="bottom"/>
          </w:tcPr>
          <w:p>
            <w:pPr>
              <w:pStyle w:val="TableContents"/>
              <w:bidi w:val="0"/>
              <w:spacing w:lineRule="auto" w:line="300" w:before="0" w:after="0"/>
              <w:jc w:val="right"/>
              <w:rPr/>
            </w:pPr>
            <w:r>
              <w:rPr/>
              <w:t>103,281</w:t>
            </w:r>
          </w:p>
        </w:tc>
        <w:tc>
          <w:tcPr>
            <w:tcW w:w="113"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Key Performance Metrics and Non-GAAP Financial Measures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This release includes certain key performance metrics and financial measures not based on GAAP, including Adjusted EBITDA, Adjusted EBITDA margin, non-GAAP gross profit, non-GAAP gross margin, non-GAAP operating expenses, non-GAAP net income (loss), non-GAAP net income (loss) per share, and free cash flow, as well as operating metrics, including marketplace Gross Merchandise Value or GMV, annual active buyers, annual spend per buyer and marketplace take rate. Some amounts in this release may not total due to rounding. All percentages have been calculated using unrounded amounts.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We define each of our non-GAAP measures of financial performance, as the respective GAAP balances shown in the above tables, adjusted for, as applicable, depreciation and amortization, share-based compensation expenses, restructuring costs, impairment of intangible assets, earn-out revaluation, acquisition related costs and other, income taxes, amortization of discount and issuance costs of convertible note, financial (income) expenses, net and other. Amortization of acquired intangible assets is excluded from the measures, however, the revenue from the acquired companies is included, and their assets actively contribute to revenue generation. Non-GAAP gross margin represents non-GAAP gross profit expressed as a percentage of revenue. We define non-GAAP net income (loss) per share as non-GAAP net income (loss) divided by GAAP weighted-average number of ordinary shares basic and diluted. We use free cash flow as a liquidity measure and define it as net cash provided by operating activities less capital expenditures. We define Adjusted EBITDA margin as Adjusted EBITDA expressed as a percentage of revenue.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We define GMV or marketplace Gross Merchandise Value as the total value of transactions ordered through our marketplace, excluding value-added tax, goods and services tax, service chargebacks and refunds. Annual active buyers on any given date is defined as buyers who have ordered a Gig on our marketplace within the last 12-month period, irrespective of cancellations. Annual spend per buyer on any given date is calculated by dividing our GMV within the last 12-month period by the number of annual active buyers as of such date. Marketplace take rate for a given period means marketplace revenue for such period divided by GMV for such period. When we refer in this release to the marketplace we refer to transactions conducted between buyers and freelancers on Fiverr.com. When we refer to the platform we refer to the marketplace and our additional services.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Management and our board of directors use certain metrics as supplemental measures of our performance that are not required by, or presented in accordance with GAAP because they assist us in comparing our operating performance on a consistent basis, as they remove the impact of items not directly resulting from our core operations. We also use these metrics for planning purposes, including the preparation of our internal annual operating budget and financial projections, to evaluate the performance and effectiveness of our strategic initiatives and capital expenditures and to evaluate our capacity to expand our business. In addition, we believe that free cash flow, which we use as a liquidity measure, is useful in evaluating our business because free cash flow reflects the cash surplus available or used to fund the expansion of our business after the payment of capital expenditures relating to the necessary components of ongoing operations. Capital expenditures consist primarily of property and equipment purchases and capitalized software costs.</w:t>
      </w:r>
    </w:p>
    <w:p>
      <w:pPr>
        <w:pStyle w:val="TextBody"/>
        <w:bidi w:val="0"/>
        <w:spacing w:lineRule="auto" w:line="300"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Free cash flow should not be used as an alternative to, or superior to, cash from operating activities. In addition, Adjusted EBITDA, Adjusted EBITDA margin, non-GAAP gross profit, non-GAAP gross margin, non-GAAP operating expenses, non-GAAP net income (loss) and non-GAAP net income (loss) per share as well as operating metrics, including GMV, annual active buyers, annual spend per buyer and marketplace take rate should not be considered in isolation, as an alternative to, or superior to net income (loss), revenue, cash flows or other performance measures derived in accordance with GAAP. These metrics are frequently used by analysts, investors and other interested parties to evaluate companies in our industry. Management believes that the presentation of non-GAAP metrics is an appropriate measure of operating performance because they eliminate the impact of expenses that do not relate directly to the performance of our underlying business.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These non-GAAP metrics should not be construed as an inference that our future results will be unaffected by unusual or other items. Additionally, Adjusted EBITDA and other non-GAAP metrics used herein are not intended to be a measure of free cash flow for management's discretionary use, as they do not reflect our tax payments and certain other cash costs that may recur in the future, including, among other things, cash requirements for costs to replace assets being depreciated and amortized. Management compensates for these limitations by relying on our GAAP results in addition to using Adjusted EBITDA and other non-GAAP metrics as supplemental measures of our performance. Our measures of Adjusted EBITDA, free cash flow and other non-GAAP metrics used herein are not necessarily comparable to similarly titled captions of other companies due to different methods of calculation.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See the tables above regarding reconciliations of these non-GAAP financial measures to the most directly comparable GAAP measures.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We are not able to provide a reconciliation of Adjusted EBITDA guidance to net income (loss), the nearest comparable GAAP measure, for the third quarter of 2026, or the fiscal year ending December 31, 2026, because certain items that are excluded from Adjusted EBITDA cannot be reasonably predicted or are not in our control. In particular, in the case of Adjusted EBITDA, we are unable to forecast the timing or magnitude of share based compensation, amortization of intangible assets, impairment of intangible assets, income or loss on revaluation of contingent consideration, other acquisition-related costs, convertible notes amortization of discount and issuance costs and exchange rate income or loss, as applicable without unreasonable efforts, and these items could significantly impact, either individually or in the aggregate, GAAP measures in the future.</w:t>
      </w:r>
    </w:p>
    <w:p>
      <w:pPr>
        <w:pStyle w:val="TextBody"/>
        <w:bidi w:val="0"/>
        <w:spacing w:lineRule="auto" w:line="300"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Forward 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This release contains forward-looking statements within the meaning of the Private Securities Litigation Reform Act of 1995. All statements contained in this release that do not relate to matters of historical fact should be considered forward-looking statements, including, without limitation, statements regarding our expected financial performance and operational performance including, our business plans and strategy, expected business transitions, and our ability to reposition toward higher-value work, our multi-quarter transformation, the timing, amount and execution of any share repurchases, the long term growth of our business, AI services and developments, future investments and investment strategy, our product portfolio, as well as statements that include the words “expect,” “intend,” “plan,” “believe,” “project,” “forecast,” “estimate,” “may,” “should,” “anticipate” and similar statements of a future or forward-looking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our recent reduction in force could adversely affect our business, results of operations and financial condition; AI developments may present challenges for our industry and reduce the demand for some of our service offerings; our ability to successfully implement our business plan within adverse economic conditions that may impact consumers, business spending and the demand for our services or have a material adverse impact on our business, financial condition and results of operations; our ability to attract and retain a large community of buyers and freelancers; our ability to generate sufficient revenue to  maintain profitability or positive net cash flow generated by operating activities; our ability to maintain and enhance our brand; our dependence on the continued growth and expansion of the market for freelancers and the services they offer; our dependence on traffic to our websites; our ability to maintain user engagement on our websites and to maintain and improve the quality of our platform; our operations within a competitive market; political, economic and military instability in Israel, including related to the war in Israel; our ability and the ability of third parties to protect our users’ personal or other data from a security breach and to comply with laws and regulations relating to data privacy, data protection and cybersecurity; our ability to manage our current and potential future growth; our dependence on decisions and developments in the mobile device industry, over which we do not have control; our ability to detect errors, defects or disruptions in our platform; our ability to comply with the terms of underlying licenses of open source software components on our platform; our ability to expand into markets outside the United States and our ability to manage the business and economic risks of international expansion and operations; our ability to achieve desired operating margins; our ability to comply with a wide variety of U.S. and international laws and regulations, including with regulatory frameworks around the development and use of AI; our ability to attract, recruit, retain and develop qualified employees; our reliance on Amazon Web Services; our ability to mitigate payment and fraud risks; our dependence on relationships with payment partners, banks and disbursement partners; and the other important factors discussed under the caption “Risk Factors” in our annual report on Form 20-F filed with the U.S. Securities and Exchange Commission (“SEC”) on March 12, 2026, as such factors may be updated from time to time in our other filings with the SEC, which are accessible on the SEC’s website at www.sec.gov. In addition,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that we may make. In light of these risks, uncertainties and assumptions, the forward-looking events and circumstances discussed in this release are inherently uncertain and may not occur, and actual results could differ materially and adversely from those anticipated or implied in the forward-looking statements. Accordingly, you should not rely upon forward-looking statements as predictions of future events. In addition, the forward-looking statements made in this release relate only to events or information as of the date on which the statements are made in this release.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12</w:t>
      </w:r>
      <w:r>
        <w:rPr>
          <w:rFonts w:ascii="Times New Roman;Times;serif" w:hAnsi="Times New Roman;Times;serif"/>
          <w:color w:val="000000"/>
          <w:sz w:val="20"/>
        </w:rPr>
        <w:t xml:space="preserve"> </w:t>
      </w:r>
    </w:p>
    <w:p>
      <w:pPr>
        <w:pStyle w:val="HorizontalLine"/>
        <w:bidi w:val="0"/>
        <w:spacing w:lineRule="auto" w:line="300"/>
        <w:jc w:val="left"/>
        <w:rPr/>
      </w:pPr>
      <w:r>
        <w:rPr/>
      </w:r>
    </w:p>
    <w:p>
      <w:pPr>
        <w:pStyle w:val="TextBody"/>
        <w:bidi w:val="0"/>
        <w:spacing w:lineRule="auto" w:line="300"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te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4966</Words>
  <Characters>26617</Characters>
  <CharactersWithSpaces>32955</CharactersWithSpaces>
  <Paragraphs>3931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